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73330A" w:rsidRPr="00AB3E99" w14:paraId="3614F4C3" w14:textId="77777777" w:rsidTr="00C54DF0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3E6540BF" w14:textId="77777777" w:rsidR="0073330A" w:rsidRPr="005C2EC8" w:rsidRDefault="0073330A" w:rsidP="00C54DF0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>
              <w:rPr>
                <w:noProof/>
                <w:lang w:eastAsia="uk-UA"/>
              </w:rPr>
              <w:drawing>
                <wp:anchor distT="0" distB="0" distL="114300" distR="114300" simplePos="0" relativeHeight="251711488" behindDoc="1" locked="0" layoutInCell="1" allowOverlap="1" wp14:anchorId="3914A9EA" wp14:editId="68C74FEB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</w:t>
            </w:r>
          </w:p>
          <w:p w14:paraId="4D71A4D8" w14:textId="77777777" w:rsidR="0073330A" w:rsidRPr="005C2EC8" w:rsidRDefault="0073330A" w:rsidP="00C54DF0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1BCDDAEC" w14:textId="6D0236AE" w:rsidR="0073330A" w:rsidRPr="005C2EC8" w:rsidRDefault="0073330A" w:rsidP="00C54DF0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</w:t>
            </w:r>
            <w:r w:rsidR="005C17DE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956DAE">
              <w:rPr>
                <w:rFonts w:asciiTheme="minorHAnsi" w:hAnsiTheme="minorHAnsi" w:cstheme="minorBidi"/>
                <w:b/>
                <w:bCs/>
                <w:color w:val="21517E"/>
              </w:rPr>
              <w:t>4</w:t>
            </w:r>
            <w:r w:rsidR="005C17DE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883054">
              <w:rPr>
                <w:rFonts w:asciiTheme="minorHAnsi" w:hAnsiTheme="minorHAnsi" w:cstheme="minorBidi"/>
                <w:b/>
                <w:bCs/>
                <w:color w:val="21517E"/>
              </w:rPr>
              <w:t>1</w:t>
            </w:r>
            <w:r w:rsidR="00956DAE">
              <w:rPr>
                <w:rFonts w:asciiTheme="minorHAnsi" w:hAnsiTheme="minorHAnsi" w:cstheme="minorBidi"/>
                <w:b/>
                <w:bCs/>
                <w:color w:val="21517E"/>
              </w:rPr>
              <w:t>1</w:t>
            </w:r>
            <w:r w:rsidR="005C17DE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3544B27" w14:textId="77777777" w:rsidR="0073330A" w:rsidRDefault="0073330A" w:rsidP="00C54DF0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3AFAA572" w14:textId="77777777" w:rsidR="0073330A" w:rsidRPr="002040AF" w:rsidRDefault="0073330A" w:rsidP="0073330A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color w:val="DC9529"/>
                <w:sz w:val="28"/>
                <w:szCs w:val="28"/>
              </w:rPr>
            </w:pPr>
          </w:p>
          <w:p w14:paraId="3CA9E6B3" w14:textId="77777777" w:rsidR="0073330A" w:rsidRPr="002040AF" w:rsidRDefault="0073330A" w:rsidP="0073330A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2040AF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14:paraId="466FF126" w14:textId="42BBDAE1" w:rsidR="0073330A" w:rsidRPr="00AB3E99" w:rsidRDefault="0073330A" w:rsidP="00956DAE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у Харківській області</w:t>
            </w:r>
            <w:r w:rsidRPr="002040AF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002040AF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956DAE">
              <w:rPr>
                <w:rFonts w:asciiTheme="minorHAnsi" w:hAnsiTheme="minorHAnsi" w:cstheme="minorBidi"/>
                <w:i/>
                <w:iCs/>
                <w:color w:val="DC9529"/>
              </w:rPr>
              <w:t>жовт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е</w:t>
            </w: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нь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4F8314E6" w14:textId="77777777" w:rsidR="0073330A" w:rsidRPr="00B60B5A" w:rsidRDefault="0073330A" w:rsidP="00C54DF0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12512" behindDoc="0" locked="0" layoutInCell="1" allowOverlap="1" wp14:anchorId="4151E960" wp14:editId="7E72DD24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C58A14" w14:textId="77777777" w:rsidR="0073330A" w:rsidRPr="00B60B5A" w:rsidRDefault="0073330A" w:rsidP="00C54DF0">
            <w:pPr>
              <w:ind w:left="186"/>
            </w:pPr>
          </w:p>
          <w:p w14:paraId="1F4F08E5" w14:textId="77777777" w:rsidR="0073330A" w:rsidRPr="00B60B5A" w:rsidRDefault="0073330A" w:rsidP="00C54DF0">
            <w:pPr>
              <w:ind w:left="186"/>
            </w:pPr>
          </w:p>
        </w:tc>
      </w:tr>
      <w:tr w:rsidR="0073330A" w:rsidRPr="00F57ACB" w14:paraId="21D30FDF" w14:textId="77777777" w:rsidTr="00C54DF0">
        <w:trPr>
          <w:trHeight w:val="1260"/>
        </w:trPr>
        <w:tc>
          <w:tcPr>
            <w:tcW w:w="6663" w:type="dxa"/>
            <w:vMerge/>
          </w:tcPr>
          <w:p w14:paraId="5CFE9FD3" w14:textId="77777777" w:rsidR="0073330A" w:rsidRPr="00E02D0D" w:rsidRDefault="0073330A" w:rsidP="00C54D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0D20B714" w14:textId="77777777" w:rsidR="0073330A" w:rsidRDefault="0073330A" w:rsidP="0073330A">
            <w:pPr>
              <w:pStyle w:val="--121"/>
              <w:spacing w:before="80"/>
              <w:ind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B1C3742" w14:textId="77777777" w:rsidR="0073330A" w:rsidRPr="002530AB" w:rsidRDefault="0073330A" w:rsidP="0073330A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Харківській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4480B345" w14:textId="77777777" w:rsidR="0073330A" w:rsidRPr="00533E53" w:rsidRDefault="0073330A" w:rsidP="0073330A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6947F0AD" wp14:editId="07E90706">
                  <wp:extent cx="128714" cy="128714"/>
                  <wp:effectExtent l="0" t="0" r="0" b="0"/>
                  <wp:docPr id="5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533E5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</w:t>
            </w:r>
            <w:hyperlink r:id="rId15" w:history="1"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kh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.u</w:t>
              </w:r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k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rstat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gov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ua</w:t>
              </w:r>
              <w:proofErr w:type="spellEnd"/>
            </w:hyperlink>
          </w:p>
          <w:p w14:paraId="186A452C" w14:textId="77777777" w:rsidR="0073330A" w:rsidRPr="00533E53" w:rsidRDefault="0073330A" w:rsidP="0073330A">
            <w:pPr>
              <w:ind w:left="176" w:right="-195"/>
              <w:rPr>
                <w:rFonts w:asciiTheme="majorHAnsi" w:hAnsiTheme="majorHAnsi"/>
                <w:color w:val="666666"/>
              </w:rPr>
            </w:pPr>
            <w:r w:rsidRPr="00533E53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11BF336B" wp14:editId="6F245939">
                  <wp:extent cx="103910" cy="103910"/>
                  <wp:effectExtent l="0" t="0" r="0" b="0"/>
                  <wp:docPr id="6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33E5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proofErr w:type="spellStart"/>
            <w:r w:rsidRPr="00533E53">
              <w:rPr>
                <w:rFonts w:asciiTheme="majorHAnsi" w:hAnsiTheme="majorHAnsi"/>
                <w:color w:val="666666"/>
                <w:sz w:val="21"/>
                <w:szCs w:val="21"/>
                <w:lang w:val="en-US"/>
              </w:rPr>
              <w:t>gus</w:t>
            </w:r>
            <w:proofErr w:type="spellEnd"/>
            <w:r w:rsidRPr="00533E53">
              <w:rPr>
                <w:rFonts w:asciiTheme="majorHAnsi" w:hAnsiTheme="majorHAnsi"/>
                <w:color w:val="666666"/>
                <w:sz w:val="21"/>
                <w:szCs w:val="21"/>
              </w:rPr>
              <w:t>@</w:t>
            </w:r>
            <w:hyperlink r:id="rId18" w:history="1"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kh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ukrstat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gov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ua</w:t>
              </w:r>
              <w:proofErr w:type="spellEnd"/>
            </w:hyperlink>
          </w:p>
          <w:p w14:paraId="19C125C7" w14:textId="5E1E9B7C" w:rsidR="0073330A" w:rsidRPr="00E94112" w:rsidRDefault="0073330A" w:rsidP="0073330A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2365A2BB" wp14:editId="4FAA94E3">
                  <wp:extent cx="114300" cy="114300"/>
                  <wp:effectExtent l="0" t="0" r="0" b="0"/>
                  <wp:docPr id="7" name="Рисунок 7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Телефонная трубка"/>
                          <pic:cNvPicPr>
                            <a:picLocks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</w:t>
            </w:r>
            <w:r w:rsidRPr="00853BF1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+38 (057) 706 26 16</w:t>
            </w:r>
          </w:p>
        </w:tc>
      </w:tr>
    </w:tbl>
    <w:p w14:paraId="6A05A809" w14:textId="74D1A4CB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29ABFFF3" w14:textId="77777777" w:rsidR="00B6103B" w:rsidRPr="007D24C6" w:rsidRDefault="00B6103B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14:paraId="14A45D88" w14:textId="6DD6E9D2" w:rsidR="00E60733" w:rsidRPr="007D24C6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  <w:r w:rsidRPr="007D24C6">
        <w:rPr>
          <w:rFonts w:ascii="Calibri" w:hAnsi="Calibri" w:cs="Calibri"/>
          <w:color w:val="1F4E79"/>
        </w:rPr>
        <w:t>Обсяг виробництва сільськогосподарської продукції в січні</w:t>
      </w:r>
      <w:r w:rsidR="00C83D34" w:rsidRPr="007D24C6">
        <w:rPr>
          <w:rFonts w:ascii="Calibri" w:hAnsi="Calibri" w:cs="Calibri"/>
          <w:color w:val="1F4E79"/>
        </w:rPr>
        <w:t>−</w:t>
      </w:r>
      <w:r w:rsidR="00956DAE" w:rsidRPr="007D24C6">
        <w:rPr>
          <w:rFonts w:ascii="Calibri" w:hAnsi="Calibri" w:cs="Calibri"/>
          <w:color w:val="1F4E79"/>
        </w:rPr>
        <w:t>жовт</w:t>
      </w:r>
      <w:r w:rsidR="0075586C" w:rsidRPr="007D24C6">
        <w:rPr>
          <w:rFonts w:ascii="Calibri" w:hAnsi="Calibri" w:cs="Calibri"/>
          <w:color w:val="1F4E79"/>
        </w:rPr>
        <w:t>ні</w:t>
      </w:r>
      <w:r w:rsidRPr="007D24C6">
        <w:rPr>
          <w:rFonts w:ascii="Calibri" w:hAnsi="Calibri" w:cs="Calibri"/>
          <w:color w:val="1F4E79"/>
        </w:rPr>
        <w:t xml:space="preserve"> 2025</w:t>
      </w:r>
      <w:r w:rsidR="0075586C" w:rsidRPr="007D24C6">
        <w:rPr>
          <w:rFonts w:ascii="Calibri" w:hAnsi="Calibri" w:cs="Calibri"/>
          <w:color w:val="1F4E79"/>
        </w:rPr>
        <w:t xml:space="preserve"> </w:t>
      </w:r>
      <w:r w:rsidRPr="007D24C6">
        <w:rPr>
          <w:rFonts w:ascii="Calibri" w:hAnsi="Calibri" w:cs="Calibri"/>
          <w:color w:val="1F4E79"/>
        </w:rPr>
        <w:t xml:space="preserve">р. порівняно </w:t>
      </w:r>
      <w:r w:rsidR="0075586C" w:rsidRPr="007D24C6">
        <w:rPr>
          <w:rFonts w:ascii="Calibri" w:hAnsi="Calibri" w:cs="Calibri"/>
          <w:color w:val="1F4E79"/>
        </w:rPr>
        <w:br/>
      </w:r>
      <w:r w:rsidRPr="007D24C6">
        <w:rPr>
          <w:rFonts w:ascii="Calibri" w:hAnsi="Calibri" w:cs="Calibri"/>
          <w:color w:val="1F4E79"/>
        </w:rPr>
        <w:t>із</w:t>
      </w:r>
      <w:r w:rsidR="0075586C" w:rsidRPr="007D24C6">
        <w:rPr>
          <w:rFonts w:ascii="Calibri" w:hAnsi="Calibri" w:cs="Calibri"/>
          <w:color w:val="1F4E79"/>
        </w:rPr>
        <w:t xml:space="preserve"> </w:t>
      </w:r>
      <w:r w:rsidRPr="007D24C6">
        <w:rPr>
          <w:rFonts w:ascii="Calibri" w:hAnsi="Calibri" w:cs="Calibri"/>
          <w:color w:val="1F4E79"/>
        </w:rPr>
        <w:t>січнем−</w:t>
      </w:r>
      <w:r w:rsidR="00956DAE" w:rsidRPr="007D24C6">
        <w:rPr>
          <w:rFonts w:ascii="Calibri" w:hAnsi="Calibri" w:cs="Calibri"/>
          <w:color w:val="1F4E79"/>
        </w:rPr>
        <w:t>жовт</w:t>
      </w:r>
      <w:r w:rsidR="0075586C" w:rsidRPr="007D24C6">
        <w:rPr>
          <w:rFonts w:ascii="Calibri" w:hAnsi="Calibri" w:cs="Calibri"/>
          <w:color w:val="1F4E79"/>
        </w:rPr>
        <w:t>нем</w:t>
      </w:r>
      <w:r w:rsidRPr="007D24C6">
        <w:rPr>
          <w:rFonts w:ascii="Calibri" w:hAnsi="Calibri" w:cs="Calibri"/>
          <w:color w:val="1F4E79"/>
        </w:rPr>
        <w:t xml:space="preserve"> 2024</w:t>
      </w:r>
      <w:r w:rsidR="0075586C" w:rsidRPr="007D24C6">
        <w:rPr>
          <w:rFonts w:ascii="Calibri" w:hAnsi="Calibri" w:cs="Calibri"/>
          <w:color w:val="1F4E79"/>
        </w:rPr>
        <w:t xml:space="preserve"> </w:t>
      </w:r>
      <w:r w:rsidRPr="007D24C6">
        <w:rPr>
          <w:rFonts w:ascii="Calibri" w:hAnsi="Calibri" w:cs="Calibri"/>
          <w:color w:val="1F4E79"/>
        </w:rPr>
        <w:t>р</w:t>
      </w:r>
      <w:r w:rsidR="00C83D34" w:rsidRPr="007D24C6">
        <w:rPr>
          <w:rFonts w:ascii="Calibri" w:hAnsi="Calibri" w:cs="Calibri"/>
          <w:color w:val="1F4E79"/>
        </w:rPr>
        <w:t>.</w:t>
      </w:r>
      <w:r w:rsidR="00C30D44" w:rsidRPr="007D24C6">
        <w:rPr>
          <w:rFonts w:ascii="Calibri" w:hAnsi="Calibri" w:cs="Calibri"/>
          <w:color w:val="1F4E79"/>
        </w:rPr>
        <w:t xml:space="preserve"> </w:t>
      </w:r>
      <w:r w:rsidR="00956DAE" w:rsidRPr="007D24C6">
        <w:rPr>
          <w:rFonts w:ascii="Calibri" w:hAnsi="Calibri" w:cs="Calibri"/>
          <w:color w:val="1F4E79"/>
        </w:rPr>
        <w:t>зменшився</w:t>
      </w:r>
      <w:r w:rsidR="00C30D44" w:rsidRPr="007D24C6">
        <w:rPr>
          <w:rFonts w:ascii="Calibri" w:hAnsi="Calibri" w:cs="Calibri"/>
          <w:color w:val="1F4E79"/>
        </w:rPr>
        <w:t xml:space="preserve"> </w:t>
      </w:r>
      <w:r w:rsidRPr="007D24C6">
        <w:rPr>
          <w:rFonts w:ascii="Calibri" w:hAnsi="Calibri" w:cs="Calibri"/>
          <w:color w:val="1F4E79"/>
        </w:rPr>
        <w:t xml:space="preserve">на </w:t>
      </w:r>
      <w:r w:rsidR="007D24C6" w:rsidRPr="007D24C6">
        <w:rPr>
          <w:rFonts w:ascii="Calibri" w:hAnsi="Calibri" w:cs="Calibri"/>
          <w:color w:val="1F4E79"/>
        </w:rPr>
        <w:t>4</w:t>
      </w:r>
      <w:r w:rsidR="00E60733" w:rsidRPr="007D24C6">
        <w:rPr>
          <w:rFonts w:ascii="Calibri" w:hAnsi="Calibri" w:cs="Calibri"/>
          <w:color w:val="1F4E79"/>
        </w:rPr>
        <w:t>,3</w:t>
      </w:r>
      <w:r w:rsidRPr="007D24C6">
        <w:rPr>
          <w:rFonts w:ascii="Calibri" w:hAnsi="Calibri" w:cs="Calibri"/>
          <w:color w:val="1F4E79"/>
        </w:rPr>
        <w:t>%.</w:t>
      </w:r>
      <w:r w:rsidR="00E60733" w:rsidRPr="007D24C6">
        <w:rPr>
          <w:rFonts w:ascii="Calibri" w:hAnsi="Calibri" w:cs="Calibri"/>
          <w:color w:val="1F4E79"/>
        </w:rPr>
        <w:t xml:space="preserve"> </w:t>
      </w:r>
    </w:p>
    <w:p w14:paraId="5A39BBE3" w14:textId="77777777" w:rsidR="00AE21C4" w:rsidRPr="00E60733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Pr="00C83D34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C83D34">
        <w:rPr>
          <w:rFonts w:ascii="Calibri" w:hAnsi="Calibri"/>
          <w:color w:val="22517D"/>
        </w:rPr>
        <w:t>у % до відповідного періоду попереднього року</w:t>
      </w:r>
    </w:p>
    <w:p w14:paraId="4101652C" w14:textId="77777777"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7D24C6" w:rsidRPr="007D24C6" w14:paraId="5AD7B045" w14:textId="77777777" w:rsidTr="00B6103B">
        <w:trPr>
          <w:trHeight w:val="455"/>
        </w:trPr>
        <w:tc>
          <w:tcPr>
            <w:tcW w:w="3238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7D24C6" w:rsidRDefault="00AE21C4" w:rsidP="00954A57">
            <w:pPr>
              <w:rPr>
                <w:rFonts w:ascii="Calibri" w:hAnsi="Calibri"/>
                <w:color w:val="1F4E79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7D24C6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1F4E79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3997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7D24C6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У тому числі</w:t>
            </w:r>
          </w:p>
        </w:tc>
      </w:tr>
      <w:tr w:rsidR="007D24C6" w:rsidRPr="007D24C6" w14:paraId="644B1BD7" w14:textId="77777777" w:rsidTr="0073330A">
        <w:trPr>
          <w:trHeight w:val="772"/>
        </w:trPr>
        <w:tc>
          <w:tcPr>
            <w:tcW w:w="3238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7D24C6" w:rsidRDefault="00AE21C4" w:rsidP="00954A57">
            <w:pPr>
              <w:rPr>
                <w:rFonts w:ascii="Calibri" w:hAnsi="Calibri"/>
                <w:color w:val="1F4E79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393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7D24C6" w:rsidRDefault="00AE21C4" w:rsidP="00954A57">
            <w:pPr>
              <w:jc w:val="center"/>
              <w:rPr>
                <w:rFonts w:ascii="Calibri" w:hAnsi="Calibri"/>
                <w:b/>
                <w:bCs/>
                <w:color w:val="1F4E79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7D24C6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7D24C6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 xml:space="preserve">продукція тваринництва </w:t>
            </w:r>
          </w:p>
        </w:tc>
      </w:tr>
      <w:tr w:rsidR="007D24C6" w:rsidRPr="007D24C6" w14:paraId="0214882F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5264706" w:rsidR="00E60733" w:rsidRPr="007D24C6" w:rsidRDefault="00E60733" w:rsidP="00E60733">
            <w:pPr>
              <w:spacing w:before="120"/>
              <w:rPr>
                <w:rFonts w:ascii="Calibri" w:hAnsi="Calibri" w:cs="Calibri"/>
                <w:b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Господарства всіх категорій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77E60955" w:rsidR="00E60733" w:rsidRPr="007D24C6" w:rsidRDefault="007D24C6" w:rsidP="00E60733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/>
                <w:sz w:val="22"/>
                <w:szCs w:val="22"/>
                <w:lang w:val="en-US"/>
              </w:rPr>
            </w:pPr>
            <w:r w:rsidRPr="007D24C6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:lang w:val="en-US"/>
                <w14:ligatures w14:val="standardContextual"/>
              </w:rPr>
              <w:t>95</w:t>
            </w:r>
            <w:r w:rsidRPr="007D24C6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14:ligatures w14:val="standardContextual"/>
              </w:rPr>
              <w:t>,</w:t>
            </w:r>
            <w:r w:rsidRPr="007D24C6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:lang w:val="en-US"/>
                <w14:ligatures w14:val="standardContextual"/>
              </w:rPr>
              <w:t>7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70A6403E" w:rsidR="00E60733" w:rsidRPr="007D24C6" w:rsidRDefault="007D24C6" w:rsidP="00E60733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/>
                <w:sz w:val="22"/>
                <w:szCs w:val="22"/>
                <w:lang w:val="en-US"/>
              </w:rPr>
            </w:pPr>
            <w:r w:rsidRPr="007D24C6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:lang w:val="en-US"/>
                <w14:ligatures w14:val="standardContextual"/>
              </w:rPr>
              <w:t>94</w:t>
            </w:r>
            <w:r w:rsidRPr="007D24C6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14:ligatures w14:val="standardContextual"/>
              </w:rPr>
              <w:t>,</w:t>
            </w:r>
            <w:r w:rsidRPr="007D24C6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:lang w:val="en-US"/>
                <w14:ligatures w14:val="standardContextual"/>
              </w:rPr>
              <w:t>9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30EBF48F" w:rsidR="00E60733" w:rsidRPr="007D24C6" w:rsidRDefault="007D24C6" w:rsidP="00E60733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/>
                <w:sz w:val="22"/>
                <w:szCs w:val="22"/>
                <w:lang w:val="en-US"/>
              </w:rPr>
            </w:pPr>
            <w:r w:rsidRPr="007D24C6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:lang w:val="en-US"/>
                <w14:ligatures w14:val="standardContextual"/>
              </w:rPr>
              <w:t>102</w:t>
            </w:r>
            <w:r w:rsidRPr="007D24C6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14:ligatures w14:val="standardContextual"/>
              </w:rPr>
              <w:t>,</w:t>
            </w:r>
            <w:r w:rsidRPr="007D24C6">
              <w:rPr>
                <w:rFonts w:asciiTheme="minorHAnsi" w:hAnsiTheme="minorHAnsi" w:cs="Times New Roman CYR"/>
                <w:b/>
                <w:color w:val="1F4E79"/>
                <w:kern w:val="2"/>
                <w:sz w:val="22"/>
                <w:szCs w:val="22"/>
                <w:lang w:val="en-US"/>
                <w14:ligatures w14:val="standardContextual"/>
              </w:rPr>
              <w:t>5</w:t>
            </w:r>
          </w:p>
        </w:tc>
      </w:tr>
      <w:tr w:rsidR="007D24C6" w:rsidRPr="007D24C6" w14:paraId="56F9D986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7D24C6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у тому числі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7D24C6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7D24C6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7D24C6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</w:p>
        </w:tc>
      </w:tr>
      <w:tr w:rsidR="007D24C6" w:rsidRPr="007D24C6" w14:paraId="76A84CFA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E60733" w:rsidRPr="007D24C6" w:rsidRDefault="00E60733" w:rsidP="00E60733">
            <w:pPr>
              <w:spacing w:before="120"/>
              <w:ind w:left="170"/>
              <w:rPr>
                <w:rFonts w:ascii="Calibri" w:hAnsi="Calibri" w:cs="Calibri"/>
                <w:b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підприємства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31A44331" w:rsidR="00E60733" w:rsidRPr="007D24C6" w:rsidRDefault="007D24C6" w:rsidP="00E60733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94</w:t>
            </w: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,</w:t>
            </w:r>
            <w:r w:rsidRPr="007D24C6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6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4BFE60AA" w:rsidR="00E60733" w:rsidRPr="007D24C6" w:rsidRDefault="007D24C6" w:rsidP="00E60733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93,7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7E6C2688" w:rsidR="00E60733" w:rsidRPr="007D24C6" w:rsidRDefault="007D24C6" w:rsidP="00435E87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104,</w:t>
            </w:r>
            <w:r w:rsidR="00435E87">
              <w:rPr>
                <w:rFonts w:ascii="Calibri" w:hAnsi="Calibri" w:cs="Calibri"/>
                <w:color w:val="1F4E79"/>
                <w:sz w:val="22"/>
                <w:szCs w:val="22"/>
              </w:rPr>
              <w:t>8</w:t>
            </w:r>
          </w:p>
        </w:tc>
      </w:tr>
      <w:tr w:rsidR="007D24C6" w:rsidRPr="007D24C6" w14:paraId="28786F86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E60733" w:rsidRPr="007D24C6" w:rsidRDefault="00E60733" w:rsidP="00E60733">
            <w:pPr>
              <w:spacing w:before="120"/>
              <w:ind w:left="170"/>
              <w:rPr>
                <w:rFonts w:ascii="Calibri" w:hAnsi="Calibri" w:cs="Calibri"/>
                <w:color w:val="1F4E79"/>
                <w:sz w:val="22"/>
                <w:szCs w:val="22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</w:rPr>
              <w:t>господарства населення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20A976EA" w:rsidR="00E60733" w:rsidRPr="007D24C6" w:rsidRDefault="007D24C6" w:rsidP="00E60733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98,7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49980275" w:rsidR="00E60733" w:rsidRPr="007D24C6" w:rsidRDefault="007D24C6" w:rsidP="00E60733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98,5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3DF0095B" w:rsidR="00E60733" w:rsidRPr="007D24C6" w:rsidRDefault="007D24C6" w:rsidP="00E60733">
            <w:pPr>
              <w:spacing w:before="120"/>
              <w:jc w:val="center"/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</w:pPr>
            <w:r w:rsidRPr="007D24C6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99,6</w:t>
            </w:r>
          </w:p>
        </w:tc>
      </w:tr>
    </w:tbl>
    <w:p w14:paraId="71028792" w14:textId="44BCA2D3" w:rsidR="37DCEB36" w:rsidRDefault="37DCEB36" w:rsidP="60FE3F94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4686DF06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6C2FEC" w:rsidRPr="002923D5" w14:paraId="31B94BA3" w14:textId="77777777" w:rsidTr="00E84DAF">
        <w:tc>
          <w:tcPr>
            <w:tcW w:w="9629" w:type="dxa"/>
          </w:tcPr>
          <w:p w14:paraId="66C514BC" w14:textId="77777777" w:rsidR="006C2FEC" w:rsidRPr="002923D5" w:rsidRDefault="006C2FEC" w:rsidP="00E84DAF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C05B4B3" wp14:editId="41F1F85D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6C2FEC" w:rsidRPr="002923D5" w14:paraId="11864A58" w14:textId="77777777" w:rsidTr="00E84DAF">
        <w:tc>
          <w:tcPr>
            <w:tcW w:w="9629" w:type="dxa"/>
          </w:tcPr>
          <w:p w14:paraId="2C976FCD" w14:textId="77777777" w:rsidR="006C2FEC" w:rsidRPr="002923D5" w:rsidRDefault="006C2FEC" w:rsidP="00E84DAF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48A8DF2B" w14:textId="77777777" w:rsidR="006C2FEC" w:rsidRPr="002923D5" w:rsidRDefault="006C2FEC" w:rsidP="00E84DAF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6C2FEC" w:rsidRPr="002923D5" w14:paraId="671E8589" w14:textId="77777777" w:rsidTr="00E84DAF">
        <w:tc>
          <w:tcPr>
            <w:tcW w:w="9629" w:type="dxa"/>
          </w:tcPr>
          <w:p w14:paraId="67DEBDA6" w14:textId="77777777" w:rsidR="006C2FEC" w:rsidRPr="002923D5" w:rsidRDefault="006C2FEC" w:rsidP="00E84DAF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7AD1F09B" wp14:editId="63086EEE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6C2FEC" w:rsidRPr="002923D5" w14:paraId="748CE064" w14:textId="77777777" w:rsidTr="00E84DAF">
        <w:tc>
          <w:tcPr>
            <w:tcW w:w="9629" w:type="dxa"/>
          </w:tcPr>
          <w:p w14:paraId="18F5B8C1" w14:textId="77777777" w:rsidR="006C2FEC" w:rsidRDefault="006C2FEC" w:rsidP="00E84DAF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25BD91BE" w14:textId="77777777" w:rsidR="006C2FEC" w:rsidRPr="002923D5" w:rsidRDefault="006C2FEC" w:rsidP="00E84DAF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6C2FEC" w:rsidRPr="002923D5" w14:paraId="3CCCE077" w14:textId="77777777" w:rsidTr="00E84DAF">
        <w:tc>
          <w:tcPr>
            <w:tcW w:w="9629" w:type="dxa"/>
          </w:tcPr>
          <w:p w14:paraId="5B894946" w14:textId="77777777" w:rsidR="006C2FEC" w:rsidRPr="002923D5" w:rsidRDefault="006C2FEC" w:rsidP="00E84DAF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5948DC8" wp14:editId="3F100C05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6C2FEC" w:rsidRPr="001E1AAD" w14:paraId="60BA94FD" w14:textId="77777777" w:rsidTr="00E84DAF">
        <w:tc>
          <w:tcPr>
            <w:tcW w:w="9629" w:type="dxa"/>
          </w:tcPr>
          <w:p w14:paraId="1ACC0D80" w14:textId="77777777" w:rsidR="006C2FEC" w:rsidRPr="007D24C6" w:rsidRDefault="006C2FEC" w:rsidP="00E84DAF">
            <w:pPr>
              <w:jc w:val="both"/>
              <w:rPr>
                <w:color w:val="1F4E79"/>
              </w:rPr>
            </w:pPr>
            <w:r w:rsidRPr="2CB695B5">
              <w:rPr>
                <w:rFonts w:ascii="Calibri" w:eastAsia="Calibri" w:hAnsi="Calibri" w:cs="Calibri"/>
                <w:color w:val="1F4E79" w:themeColor="accent5" w:themeShade="80"/>
              </w:rPr>
              <w:t xml:space="preserve">Показники формуються за результатами державного статистичного спостереження "Продукція сільського господарства у постійних цінах". У межах державного статистичного спостереження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</w:t>
            </w:r>
            <w:r w:rsidRPr="007D24C6">
              <w:rPr>
                <w:rFonts w:ascii="Calibri" w:eastAsia="Calibri" w:hAnsi="Calibri" w:cs="Calibri"/>
                <w:color w:val="1F4E79"/>
              </w:rPr>
              <w:t>розрахунків.</w:t>
            </w:r>
          </w:p>
          <w:p w14:paraId="212E99EE" w14:textId="77777777" w:rsidR="006C2FEC" w:rsidRPr="007D24C6" w:rsidRDefault="006C2FEC" w:rsidP="00E84DAF">
            <w:pPr>
              <w:spacing w:before="120"/>
              <w:jc w:val="both"/>
              <w:rPr>
                <w:color w:val="1F4E79"/>
              </w:rPr>
            </w:pPr>
            <w:r w:rsidRPr="007D24C6">
              <w:rPr>
                <w:rFonts w:ascii="Calibri" w:eastAsia="Calibri" w:hAnsi="Calibri" w:cs="Calibri"/>
                <w:color w:val="1F4E79"/>
              </w:rPr>
              <w:t xml:space="preserve">За постійні ціни прийняті середні ціни 2021 року. </w:t>
            </w:r>
          </w:p>
          <w:p w14:paraId="13D3FC4E" w14:textId="2D7AEDAD" w:rsidR="006C2FEC" w:rsidRPr="007D24C6" w:rsidRDefault="006C2FEC" w:rsidP="00E84DAF">
            <w:pPr>
              <w:spacing w:before="120"/>
              <w:jc w:val="both"/>
              <w:rPr>
                <w:color w:val="1F4E79"/>
              </w:rPr>
            </w:pPr>
            <w:r w:rsidRPr="007D24C6">
              <w:rPr>
                <w:rFonts w:ascii="Calibri" w:eastAsia="Calibri" w:hAnsi="Calibri" w:cs="Calibri"/>
                <w:color w:val="1F4E79"/>
              </w:rPr>
              <w:t>Розрахунки за січень – січень</w:t>
            </w:r>
            <w:r w:rsidRPr="007D24C6">
              <w:rPr>
                <w:rFonts w:ascii="Vivaldi" w:eastAsia="Vivaldi" w:hAnsi="Vivaldi" w:cs="Vivaldi"/>
                <w:color w:val="1F4E79"/>
              </w:rPr>
              <w:t>—</w:t>
            </w:r>
            <w:r w:rsidRPr="007D24C6">
              <w:rPr>
                <w:rFonts w:ascii="Calibri" w:eastAsia="Calibri" w:hAnsi="Calibri" w:cs="Calibri"/>
                <w:color w:val="1F4E79"/>
              </w:rPr>
              <w:t>травень проводяться на основі даних щодо продукції тваринництва, із січня</w:t>
            </w:r>
            <w:r w:rsidRPr="007D24C6">
              <w:rPr>
                <w:rFonts w:ascii="Vivaldi" w:eastAsia="Vivaldi" w:hAnsi="Vivaldi" w:cs="Vivaldi"/>
                <w:color w:val="1F4E79"/>
              </w:rPr>
              <w:t>—</w:t>
            </w:r>
            <w:r w:rsidRPr="007D24C6">
              <w:rPr>
                <w:rFonts w:ascii="Calibri" w:eastAsia="Calibri" w:hAnsi="Calibri" w:cs="Calibri"/>
                <w:color w:val="1F4E79"/>
              </w:rPr>
              <w:t xml:space="preserve">червня − на основі даних щодо продукції рослинництва </w:t>
            </w:r>
            <w:r w:rsidRPr="007D24C6">
              <w:rPr>
                <w:rFonts w:ascii="Calibri" w:eastAsia="Calibri" w:hAnsi="Calibri" w:cs="Calibri"/>
                <w:color w:val="1F4E79"/>
              </w:rPr>
              <w:br/>
              <w:t xml:space="preserve">та тваринництва. </w:t>
            </w:r>
          </w:p>
          <w:p w14:paraId="468302B2" w14:textId="4AA816AE" w:rsidR="006C2FEC" w:rsidRPr="007D24C6" w:rsidRDefault="006C2FEC" w:rsidP="00E84DAF">
            <w:pPr>
              <w:spacing w:before="120"/>
              <w:jc w:val="both"/>
              <w:rPr>
                <w:rFonts w:ascii="Calibri" w:eastAsia="Calibri" w:hAnsi="Calibri" w:cs="Calibri"/>
                <w:color w:val="1F4E79"/>
              </w:rPr>
            </w:pP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 xml:space="preserve">Джерелами даних є інформація, отримана за результатами інших державних статистичних спостережень: зведені дані державного статистичного спостереження "Площі, валові збори та урожайність сільськогосподарських культур" за формою №37-сг (місячна) "Звіт про збирання врожаю сільськогосподарських культур" та формою  № 29-сг (річна) "Звіт про площі та валові збори сільськогосподарських культур, плодів, ягід і винограду"; зведені дані державного статистичного спостереження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</w:t>
            </w:r>
            <w:r w:rsidRPr="007D24C6">
              <w:rPr>
                <w:rFonts w:ascii="Calibri" w:eastAsia="Calibri" w:hAnsi="Calibri" w:cs="Calibri"/>
                <w:color w:val="1F4E79"/>
              </w:rPr>
              <w:t>сільськогосподарських тварин і забезпеченість їх кормами"; статистична інформація державного статистичного спостереження "Реалізація продукції сільського господарства підприємствами та господарствами населення".</w:t>
            </w:r>
          </w:p>
          <w:p w14:paraId="2B0B2FA5" w14:textId="77777777" w:rsidR="006C2FEC" w:rsidRPr="007D24C6" w:rsidRDefault="006C2FEC" w:rsidP="00E84DAF">
            <w:pPr>
              <w:spacing w:before="120"/>
              <w:jc w:val="both"/>
              <w:rPr>
                <w:color w:val="1F4E79"/>
              </w:rPr>
            </w:pPr>
            <w:r w:rsidRPr="007D24C6">
              <w:rPr>
                <w:rFonts w:ascii="Calibri" w:eastAsia="Calibri" w:hAnsi="Calibri" w:cs="Calibri"/>
                <w:color w:val="1F4E79"/>
              </w:rPr>
              <w:t>Дані можуть бути уточнені.</w:t>
            </w:r>
          </w:p>
          <w:p w14:paraId="672FA3A2" w14:textId="77777777" w:rsidR="006C2FEC" w:rsidRPr="007D24C6" w:rsidRDefault="006C2FEC" w:rsidP="00E84DAF">
            <w:pPr>
              <w:spacing w:before="120"/>
              <w:jc w:val="both"/>
              <w:rPr>
                <w:color w:val="1F4E79"/>
              </w:rPr>
            </w:pPr>
            <w:r w:rsidRPr="007D24C6">
              <w:rPr>
                <w:rFonts w:ascii="Calibri" w:eastAsia="Calibri" w:hAnsi="Calibri" w:cs="Calibri"/>
                <w:color w:val="1F4E79"/>
              </w:rPr>
              <w:t xml:space="preserve">Методологічні положення: </w:t>
            </w:r>
            <w:hyperlink r:id="rId21">
              <w:r w:rsidRPr="007D24C6">
                <w:rPr>
                  <w:rStyle w:val="a5"/>
                  <w:rFonts w:ascii="Calibri" w:eastAsia="Calibri" w:hAnsi="Calibri" w:cs="Calibri"/>
                  <w:color w:val="1F4E79"/>
                </w:rPr>
                <w:t>https://www.ukrstat.gov.ua/norm_doc/2023/180/180.pdf</w:t>
              </w:r>
            </w:hyperlink>
            <w:r w:rsidRPr="007D24C6">
              <w:rPr>
                <w:rFonts w:ascii="Calibri" w:eastAsia="Calibri" w:hAnsi="Calibri" w:cs="Calibri"/>
                <w:color w:val="1F4E79"/>
                <w:u w:val="single"/>
              </w:rPr>
              <w:t>.</w:t>
            </w:r>
          </w:p>
          <w:p w14:paraId="480AC87F" w14:textId="77777777" w:rsidR="006C2FEC" w:rsidRPr="007D24C6" w:rsidRDefault="006C2FEC" w:rsidP="00E84DAF">
            <w:pPr>
              <w:jc w:val="both"/>
              <w:rPr>
                <w:rFonts w:ascii="Calibri" w:hAnsi="Calibri" w:cs="Calibri"/>
                <w:color w:val="1F4E79"/>
                <w:sz w:val="28"/>
                <w:u w:val="single"/>
                <w:lang w:val="ru-RU"/>
              </w:rPr>
            </w:pPr>
          </w:p>
        </w:tc>
      </w:tr>
      <w:tr w:rsidR="006C2FEC" w:rsidRPr="002923D5" w14:paraId="261D4218" w14:textId="77777777" w:rsidTr="00E84DAF">
        <w:tc>
          <w:tcPr>
            <w:tcW w:w="9629" w:type="dxa"/>
          </w:tcPr>
          <w:p w14:paraId="70F29A7B" w14:textId="77777777" w:rsidR="006C2FEC" w:rsidRPr="002923D5" w:rsidRDefault="006C2FEC" w:rsidP="00E84DAF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65A9F7E7" wp14:editId="44983BD3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6C2FEC" w:rsidRPr="002923D5" w14:paraId="20BE350B" w14:textId="77777777" w:rsidTr="00E84DAF">
        <w:tc>
          <w:tcPr>
            <w:tcW w:w="9629" w:type="dxa"/>
          </w:tcPr>
          <w:p w14:paraId="4B7D4B4A" w14:textId="77777777" w:rsidR="006C2FEC" w:rsidRPr="002923D5" w:rsidRDefault="006C2FEC" w:rsidP="00E84DAF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0A8D9FE4" w14:textId="77777777" w:rsidR="006C2FEC" w:rsidRDefault="006C2FEC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763B94B7" w14:textId="77777777" w:rsidR="006C2FEC" w:rsidRDefault="006C2FEC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0E93AFFC" w14:textId="77777777" w:rsidR="00132E47" w:rsidRDefault="00132E47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506933B2" w14:textId="77777777" w:rsidR="001C0CA5" w:rsidRDefault="001C0CA5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52E56223" w14:textId="77777777" w:rsidR="00A36402" w:rsidRPr="0075586C" w:rsidRDefault="00A36402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BDEE5B3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16C60740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26CF1945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72093472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610E71C" w14:textId="77777777" w:rsidR="005B15C7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AEA8ECD" w14:textId="77777777" w:rsidR="00D40153" w:rsidRPr="0075586C" w:rsidRDefault="00D40153" w:rsidP="00A36402">
      <w:pPr>
        <w:spacing w:line="228" w:lineRule="auto"/>
        <w:rPr>
          <w:rFonts w:ascii="Calibri" w:hAnsi="Calibri"/>
          <w:color w:val="1F4E79"/>
          <w:u w:val="single"/>
        </w:rPr>
      </w:pPr>
      <w:bookmarkStart w:id="1" w:name="_GoBack"/>
      <w:bookmarkEnd w:id="1"/>
    </w:p>
    <w:p w14:paraId="117EF43E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662DE516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1D21C91D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342D125C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0262F6F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3C268BCA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2DCD9D2D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59C77E0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530FA315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32464A29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D97CD1A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bookmarkEnd w:id="0"/>
    <w:p w14:paraId="680A4E5D" w14:textId="77777777" w:rsidR="00A36402" w:rsidRPr="0075586C" w:rsidRDefault="00A36402" w:rsidP="00A36402">
      <w:pPr>
        <w:widowControl w:val="0"/>
        <w:rPr>
          <w:rFonts w:ascii="Calibri" w:hAnsi="Calibri"/>
          <w:color w:val="1F4E79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RPr="002040AF" w14:paraId="026E6F76" w14:textId="77777777" w:rsidTr="005B15C7">
        <w:trPr>
          <w:trHeight w:val="977"/>
        </w:trPr>
        <w:tc>
          <w:tcPr>
            <w:tcW w:w="9623" w:type="dxa"/>
            <w:tcBorders>
              <w:left w:val="single" w:sz="12" w:space="0" w:color="DB9528"/>
            </w:tcBorders>
          </w:tcPr>
          <w:p w14:paraId="00F2D49E" w14:textId="4AAB261A" w:rsidR="00A36402" w:rsidRPr="002040AF" w:rsidRDefault="00A36402" w:rsidP="00AE2658">
            <w:pPr>
              <w:ind w:left="57"/>
              <w:rPr>
                <w:rFonts w:asciiTheme="majorHAnsi" w:hAnsiTheme="majorHAnsi" w:cs="Calibri Light"/>
                <w:color w:val="666666"/>
                <w:sz w:val="20"/>
                <w:szCs w:val="20"/>
              </w:rPr>
            </w:pPr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. </w:t>
            </w:r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</w:rPr>
              <w:t>(057) 706-26-36; e-</w:t>
            </w:r>
            <w:proofErr w:type="spellStart"/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</w:rPr>
              <w:t>mail</w:t>
            </w:r>
            <w:proofErr w:type="spellEnd"/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</w:rPr>
              <w:t xml:space="preserve">: </w:t>
            </w:r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  <w:u w:val="single"/>
              </w:rPr>
              <w:t>gus@kh.ukrstat.gov.ua</w:t>
            </w:r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.</w:t>
            </w:r>
          </w:p>
          <w:p w14:paraId="7E67F30C" w14:textId="7329D104" w:rsidR="00A36402" w:rsidRPr="002040AF" w:rsidRDefault="007D24C6" w:rsidP="00AE2658">
            <w:pPr>
              <w:widowControl w:val="0"/>
              <w:rPr>
                <w:rFonts w:asciiTheme="majorHAnsi" w:hAnsiTheme="majorHAnsi"/>
                <w:color w:val="666666"/>
                <w:sz w:val="20"/>
                <w:szCs w:val="20"/>
                <w:u w:val="single"/>
                <w:lang w:val="ru-RU"/>
              </w:rPr>
            </w:pPr>
            <w:r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 </w:t>
            </w:r>
            <w:r w:rsidR="00A36402"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Більше інформації: </w:t>
            </w:r>
            <w:hyperlink r:id="rId22" w:history="1">
              <w:r w:rsidR="005B15C7" w:rsidRPr="002040AF">
                <w:rPr>
                  <w:rStyle w:val="a5"/>
                  <w:rFonts w:asciiTheme="majorHAnsi" w:hAnsiTheme="majorHAnsi"/>
                  <w:color w:val="666666"/>
                  <w:sz w:val="20"/>
                  <w:szCs w:val="20"/>
                  <w:u w:val="none"/>
                </w:rPr>
                <w:t>http://kh.ukrstat.gov.ua/silske-lisove-ta-rybne-hospodarstvo-stat</w:t>
              </w:r>
            </w:hyperlink>
          </w:p>
          <w:p w14:paraId="242F9023" w14:textId="4218D31F" w:rsidR="00A36402" w:rsidRPr="002040AF" w:rsidRDefault="00A36402" w:rsidP="005B15C7">
            <w:pPr>
              <w:ind w:left="57"/>
              <w:rPr>
                <w:rFonts w:ascii="Calibri" w:hAnsi="Calibri"/>
                <w:sz w:val="20"/>
                <w:szCs w:val="20"/>
              </w:rPr>
            </w:pPr>
            <w:r w:rsidRPr="002040AF">
              <w:rPr>
                <w:rFonts w:ascii="Calibri Light" w:hAnsi="Calibri Light" w:cs="Calibri Light"/>
                <w:color w:val="666666"/>
                <w:sz w:val="20"/>
                <w:szCs w:val="20"/>
              </w:rPr>
              <w:t>© Головне управління статистики у</w:t>
            </w:r>
            <w:r w:rsidR="005B15C7" w:rsidRPr="002040AF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Харківській </w:t>
            </w:r>
            <w:r w:rsidRPr="002040AF">
              <w:rPr>
                <w:rFonts w:ascii="Calibri Light" w:hAnsi="Calibri Light" w:cs="Calibri Light"/>
                <w:color w:val="666666"/>
                <w:sz w:val="20"/>
                <w:szCs w:val="20"/>
              </w:rPr>
              <w:t>області, 2025</w:t>
            </w:r>
          </w:p>
        </w:tc>
      </w:tr>
    </w:tbl>
    <w:p w14:paraId="296FEF7D" w14:textId="77777777" w:rsidR="00A36402" w:rsidRPr="0075586C" w:rsidRDefault="00A36402" w:rsidP="005B15C7">
      <w:pPr>
        <w:widowControl w:val="0"/>
        <w:rPr>
          <w:sz w:val="4"/>
          <w:szCs w:val="4"/>
        </w:rPr>
      </w:pPr>
    </w:p>
    <w:sectPr w:rsidR="00A36402" w:rsidRPr="0075586C" w:rsidSect="005C17DE">
      <w:footerReference w:type="even" r:id="rId23"/>
      <w:footerReference w:type="default" r:id="rId24"/>
      <w:type w:val="continuous"/>
      <w:pgSz w:w="11906" w:h="16838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4DBDC" w14:textId="77777777" w:rsidR="00331161" w:rsidRDefault="00331161" w:rsidP="005345A4">
      <w:r>
        <w:separator/>
      </w:r>
    </w:p>
  </w:endnote>
  <w:endnote w:type="continuationSeparator" w:id="0">
    <w:p w14:paraId="769D0D3C" w14:textId="77777777" w:rsidR="00331161" w:rsidRDefault="0033116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D40153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D245A" w14:textId="77777777" w:rsidR="00331161" w:rsidRDefault="00331161" w:rsidP="005345A4">
      <w:r>
        <w:separator/>
      </w:r>
    </w:p>
  </w:footnote>
  <w:footnote w:type="continuationSeparator" w:id="0">
    <w:p w14:paraId="1231BE67" w14:textId="77777777" w:rsidR="00331161" w:rsidRDefault="0033116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4pt;height:39.4pt;visibility:visible;mso-wrap-style:square" o:bullet="t">
        <v:imagedata r:id="rId1" o:title=""/>
      </v:shape>
    </w:pict>
  </w:numPicBullet>
  <w:numPicBullet w:numPicBulletId="1">
    <w:pict>
      <v:shape id="_x0000_i1027" type="#_x0000_t75" style="width:36.7pt;height:36.7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pt;height:36.7pt;visibility:visible;mso-wrap-style:square" o:bullet="t">
        <v:imagedata r:id="rId4" o:title=""/>
      </v:shape>
    </w:pict>
  </w:numPicBullet>
  <w:numPicBullet w:numPicBulletId="4">
    <w:pict>
      <v:shape id="_x0000_i1030" type="#_x0000_t75" style="width:38.05pt;height:36.7pt;visibility:visible;mso-wrap-style:square" o:bullet="t">
        <v:imagedata r:id="rId5" o:title=""/>
      </v:shape>
    </w:pict>
  </w:numPicBullet>
  <w:numPicBullet w:numPicBulletId="5">
    <w:pict>
      <v:shape id="_x0000_i1031" type="#_x0000_t75" style="width:38.05pt;height:36.7pt;visibility:visible;mso-wrap-style:square" o:bullet="t">
        <v:imagedata r:id="rId6" o:title=""/>
      </v:shape>
    </w:pict>
  </w:numPicBullet>
  <w:numPicBullet w:numPicBulletId="6">
    <w:pict>
      <v:shape id="_x0000_i1032" type="#_x0000_t75" style="width:38.05pt;height:36.7pt;visibility:visible;mso-wrap-style:square" o:bullet="t">
        <v:imagedata r:id="rId7" o:title=""/>
      </v:shape>
    </w:pict>
  </w:numPicBullet>
  <w:numPicBullet w:numPicBulletId="7">
    <w:pict>
      <v:shape id="_x0000_i1033" type="#_x0000_t75" style="width:38.05pt;height:37.35pt;visibility:visible;mso-wrap-style:square" o:bullet="t">
        <v:imagedata r:id="rId8" o:title=""/>
      </v:shape>
    </w:pict>
  </w:numPicBullet>
  <w:numPicBullet w:numPicBulletId="8">
    <w:pict>
      <v:shape id="_x0000_i1034" type="#_x0000_t75" style="width:38.05pt;height:37.35pt;visibility:visible;mso-wrap-style:square" o:bullet="t">
        <v:imagedata r:id="rId9" o:title=""/>
      </v:shape>
    </w:pict>
  </w:numPicBullet>
  <w:numPicBullet w:numPicBulletId="9">
    <w:pict>
      <v:shape id="_x0000_i1035" type="#_x0000_t75" style="width:37.35pt;height:38.0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35pt;height:38.0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15pt;height:8.15pt;visibility:visible;mso-wrap-style:square" o:bullet="t">
        <v:imagedata r:id="rId12" o:title="Конверт"/>
      </v:shape>
    </w:pict>
  </w:numPicBullet>
  <w:numPicBullet w:numPicBulletId="12">
    <w:pict>
      <v:shape id="Рисунок 3" o:spid="_x0000_i1038" type="#_x0000_t75" alt="Телефонная трубка" style="width:1in;height:1in;visibility:visible;mso-wrap-style:square" o:bullet="t">
        <v:imagedata r:id="rId13" o:title="Телефонная трубка"/>
        <o:lock v:ext="edit" aspectratio="f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2E47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540A"/>
    <w:rsid w:val="001B6234"/>
    <w:rsid w:val="001B77EB"/>
    <w:rsid w:val="001C0BCF"/>
    <w:rsid w:val="001C0CA5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40AF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B1CDE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45A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5E87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075E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592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3E5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85317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15C7"/>
    <w:rsid w:val="005B25D2"/>
    <w:rsid w:val="005B2C8C"/>
    <w:rsid w:val="005B38C8"/>
    <w:rsid w:val="005B50D4"/>
    <w:rsid w:val="005B5E7D"/>
    <w:rsid w:val="005C17DE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2FE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1E0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330A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586C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4C6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3BF1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3054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6DA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03B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0D44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3D34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0153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27D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0733"/>
    <w:rsid w:val="00E64AE3"/>
    <w:rsid w:val="00E6594F"/>
    <w:rsid w:val="00E71601"/>
    <w:rsid w:val="00E73855"/>
    <w:rsid w:val="00E80126"/>
    <w:rsid w:val="00E813AC"/>
    <w:rsid w:val="00E82FAA"/>
    <w:rsid w:val="00E847BB"/>
    <w:rsid w:val="00E84970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111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B7556"/>
    <w:rsid w:val="11039CE2"/>
    <w:rsid w:val="1714D4C3"/>
    <w:rsid w:val="198640EE"/>
    <w:rsid w:val="1EB9A23B"/>
    <w:rsid w:val="20325E83"/>
    <w:rsid w:val="23BE5EBF"/>
    <w:rsid w:val="247E4689"/>
    <w:rsid w:val="24839D1D"/>
    <w:rsid w:val="257C3FE3"/>
    <w:rsid w:val="275D2DF9"/>
    <w:rsid w:val="2D9070EC"/>
    <w:rsid w:val="347DE705"/>
    <w:rsid w:val="36637B9E"/>
    <w:rsid w:val="36CA7590"/>
    <w:rsid w:val="37DCEB3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605E8E3D"/>
    <w:rsid w:val="60688AF9"/>
    <w:rsid w:val="60AB95AB"/>
    <w:rsid w:val="60FE3F94"/>
    <w:rsid w:val="65CDEE18"/>
    <w:rsid w:val="67AAFC77"/>
    <w:rsid w:val="75E3D948"/>
    <w:rsid w:val="7698BEBC"/>
    <w:rsid w:val="781591E4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3330A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6.png"/><Relationship Id="rId18" Type="http://schemas.openxmlformats.org/officeDocument/2006/relationships/hyperlink" Target="mailto:kh.ukrstat.gov.ua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ukrstat.gov.ua/norm_doc/2023/180/180.pdf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5.emf"/><Relationship Id="rId17" Type="http://schemas.openxmlformats.org/officeDocument/2006/relationships/image" Target="media/image19.sv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7.png"/><Relationship Id="rId20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4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://kh.ukrstat.gov.ua/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7.svg"/><Relationship Id="rId22" Type="http://schemas.openxmlformats.org/officeDocument/2006/relationships/hyperlink" Target="http://kh.ukrstat.gov.ua/silske-lisove-ta-rybne-hospodarstvo-stat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418279-F85D-4935-9FD7-F0C9E455CF9B}">
  <ds:schemaRefs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63581625-5405-4f4c-b8da-aeb7be2e81a0"/>
    <ds:schemaRef ds:uri="http://purl.org/dc/elements/1.1/"/>
    <ds:schemaRef ds:uri="http://purl.org/dc/dcmitype/"/>
    <ds:schemaRef ds:uri="http://schemas.microsoft.com/office/infopath/2007/PartnerControls"/>
    <ds:schemaRef ds:uri="94080eec-b6b4-424a-9077-b67525ac751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00A8BE-5F2E-44FB-88BF-767C99E3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2468</Words>
  <Characters>1408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Y.Lavrinenko</cp:lastModifiedBy>
  <cp:revision>4</cp:revision>
  <cp:lastPrinted>2025-09-19T13:39:00Z</cp:lastPrinted>
  <dcterms:created xsi:type="dcterms:W3CDTF">2025-11-24T08:00:00Z</dcterms:created>
  <dcterms:modified xsi:type="dcterms:W3CDTF">2025-11-24T09:22:00Z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