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proofErr w:type="spellStart"/>
            <w:r w:rsidRPr="00F54957">
              <w:rPr>
                <w:rFonts w:ascii="Verdana" w:hAnsi="Verdana"/>
                <w:b/>
                <w:color w:val="2F5496"/>
                <w:sz w:val="22"/>
                <w:szCs w:val="22"/>
                <w:lang w:eastAsia="uk-UA"/>
              </w:rPr>
              <w:t>Держстат</w:t>
            </w:r>
            <w:proofErr w:type="spellEnd"/>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proofErr w:type="spellStart"/>
            <w:r w:rsidRPr="00DE703E">
              <w:rPr>
                <w:rFonts w:ascii="Verdana" w:hAnsi="Verdana"/>
                <w:b/>
                <w:color w:val="2F5496"/>
                <w:sz w:val="20"/>
                <w:szCs w:val="20"/>
                <w:lang w:eastAsia="uk-UA"/>
              </w:rPr>
              <w:t>www.kh.ukrstat.gov.ua</w:t>
            </w:r>
            <w:proofErr w:type="spellEnd"/>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w:t>
      </w:r>
      <w:r w:rsidR="00091A3B">
        <w:rPr>
          <w:rFonts w:ascii="Calibri" w:hAnsi="Calibri"/>
          <w:sz w:val="26"/>
          <w:szCs w:val="26"/>
        </w:rPr>
        <w:t>7</w:t>
      </w:r>
      <w:r w:rsidR="00B7734A">
        <w:rPr>
          <w:rFonts w:ascii="Calibri" w:hAnsi="Calibri"/>
          <w:sz w:val="26"/>
          <w:szCs w:val="26"/>
        </w:rPr>
        <w:t>.</w:t>
      </w:r>
      <w:r w:rsidR="00842084">
        <w:rPr>
          <w:rFonts w:ascii="Calibri" w:hAnsi="Calibri"/>
          <w:sz w:val="26"/>
          <w:szCs w:val="26"/>
        </w:rPr>
        <w:t>0</w:t>
      </w:r>
      <w:r w:rsidR="00091A3B">
        <w:rPr>
          <w:rFonts w:ascii="Calibri" w:hAnsi="Calibri"/>
          <w:sz w:val="26"/>
          <w:szCs w:val="26"/>
        </w:rPr>
        <w:t>7</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091A3B">
        <w:rPr>
          <w:rFonts w:ascii="Calibri" w:hAnsi="Calibri"/>
          <w:b/>
          <w:sz w:val="26"/>
          <w:szCs w:val="26"/>
        </w:rPr>
        <w:t>травні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rsidR="00493E9B" w:rsidRPr="00983258" w:rsidRDefault="00493E9B" w:rsidP="006827C1">
      <w:pPr>
        <w:pStyle w:val="ab"/>
        <w:tabs>
          <w:tab w:val="left" w:pos="709"/>
        </w:tabs>
        <w:spacing w:after="0"/>
        <w:jc w:val="center"/>
        <w:rPr>
          <w:rFonts w:ascii="Calibri" w:hAnsi="Calibri"/>
          <w:b/>
          <w:sz w:val="26"/>
          <w:szCs w:val="26"/>
        </w:rPr>
      </w:pPr>
    </w:p>
    <w:p w:rsidR="00D820BF" w:rsidRPr="00BD1275" w:rsidRDefault="00BA4ED4" w:rsidP="00F166B5">
      <w:pPr>
        <w:ind w:firstLine="567"/>
        <w:jc w:val="both"/>
        <w:rPr>
          <w:rFonts w:ascii="Calibri" w:hAnsi="Calibri" w:cstheme="minorHAnsi"/>
          <w:snapToGrid w:val="0"/>
          <w:sz w:val="26"/>
          <w:szCs w:val="26"/>
        </w:rPr>
      </w:pPr>
      <w:r w:rsidRPr="00961504">
        <w:rPr>
          <w:rFonts w:ascii="Calibri" w:hAnsi="Calibri"/>
          <w:snapToGrid w:val="0"/>
          <w:sz w:val="26"/>
          <w:szCs w:val="26"/>
        </w:rPr>
        <w:t>У</w:t>
      </w:r>
      <w:r w:rsidR="005F4D6D" w:rsidRPr="00961504">
        <w:rPr>
          <w:rFonts w:ascii="Calibri" w:hAnsi="Calibri"/>
          <w:snapToGrid w:val="0"/>
          <w:sz w:val="26"/>
          <w:szCs w:val="26"/>
        </w:rPr>
        <w:t xml:space="preserve"> січні</w:t>
      </w:r>
      <w:r w:rsidR="009C62F2" w:rsidRPr="00961504">
        <w:rPr>
          <w:rFonts w:ascii="Calibri" w:hAnsi="Calibri"/>
          <w:snapToGrid w:val="0"/>
          <w:sz w:val="26"/>
          <w:szCs w:val="26"/>
        </w:rPr>
        <w:t>–</w:t>
      </w:r>
      <w:r w:rsidR="00091A3B">
        <w:rPr>
          <w:rFonts w:ascii="Calibri" w:hAnsi="Calibri"/>
          <w:snapToGrid w:val="0"/>
          <w:sz w:val="26"/>
          <w:szCs w:val="26"/>
        </w:rPr>
        <w:t>травні</w:t>
      </w:r>
      <w:r w:rsidR="001E3643" w:rsidRPr="00961504">
        <w:rPr>
          <w:rFonts w:ascii="Calibri" w:hAnsi="Calibri"/>
          <w:snapToGrid w:val="0"/>
          <w:sz w:val="26"/>
          <w:szCs w:val="26"/>
        </w:rPr>
        <w:t xml:space="preserve"> </w:t>
      </w:r>
      <w:r w:rsidR="00D820BF" w:rsidRPr="00961504">
        <w:rPr>
          <w:rFonts w:ascii="Calibri" w:hAnsi="Calibri"/>
          <w:snapToGrid w:val="0"/>
          <w:sz w:val="26"/>
          <w:szCs w:val="26"/>
        </w:rPr>
        <w:t>20</w:t>
      </w:r>
      <w:r w:rsidR="001E3643" w:rsidRPr="00961504">
        <w:rPr>
          <w:rFonts w:ascii="Calibri" w:hAnsi="Calibri"/>
          <w:snapToGrid w:val="0"/>
          <w:sz w:val="26"/>
          <w:szCs w:val="26"/>
        </w:rPr>
        <w:t>2</w:t>
      </w:r>
      <w:r w:rsidR="005F4D6D" w:rsidRPr="00961504">
        <w:rPr>
          <w:rFonts w:ascii="Calibri" w:hAnsi="Calibri"/>
          <w:snapToGrid w:val="0"/>
          <w:sz w:val="26"/>
          <w:szCs w:val="26"/>
        </w:rPr>
        <w:t>3</w:t>
      </w:r>
      <w:r w:rsidR="0039323B" w:rsidRPr="00961504">
        <w:rPr>
          <w:rFonts w:ascii="Calibri" w:hAnsi="Calibri"/>
          <w:snapToGrid w:val="0"/>
          <w:sz w:val="26"/>
          <w:szCs w:val="26"/>
        </w:rPr>
        <w:t xml:space="preserve"> </w:t>
      </w:r>
      <w:r w:rsidR="00D820BF" w:rsidRPr="00961504">
        <w:rPr>
          <w:rFonts w:ascii="Calibri" w:hAnsi="Calibri"/>
          <w:snapToGrid w:val="0"/>
          <w:sz w:val="26"/>
          <w:szCs w:val="26"/>
        </w:rPr>
        <w:t xml:space="preserve">р. експорт </w:t>
      </w:r>
      <w:r w:rsidR="00D820BF" w:rsidRPr="00961504">
        <w:rPr>
          <w:rFonts w:ascii="Calibri" w:hAnsi="Calibri" w:cstheme="minorHAnsi"/>
          <w:snapToGrid w:val="0"/>
          <w:sz w:val="26"/>
          <w:szCs w:val="26"/>
        </w:rPr>
        <w:t xml:space="preserve">товарів становив </w:t>
      </w:r>
      <w:r w:rsidR="00091A3B">
        <w:rPr>
          <w:rFonts w:ascii="Calibri" w:hAnsi="Calibri" w:cstheme="minorHAnsi"/>
          <w:snapToGrid w:val="0"/>
          <w:sz w:val="26"/>
          <w:szCs w:val="26"/>
        </w:rPr>
        <w:t>326,2</w:t>
      </w:r>
      <w:r w:rsidR="00A224AD" w:rsidRPr="00961504">
        <w:rPr>
          <w:rFonts w:ascii="Calibri" w:hAnsi="Calibri" w:cstheme="minorHAnsi"/>
          <w:snapToGrid w:val="0"/>
          <w:sz w:val="26"/>
          <w:szCs w:val="26"/>
        </w:rPr>
        <w:t xml:space="preserve"> </w:t>
      </w:r>
      <w:proofErr w:type="spellStart"/>
      <w:r w:rsidR="008812C7"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.дол</w:t>
      </w:r>
      <w:proofErr w:type="spellEnd"/>
      <w:r w:rsidR="00D820BF" w:rsidRPr="00961504">
        <w:rPr>
          <w:rFonts w:ascii="Calibri" w:hAnsi="Calibri" w:cstheme="minorHAnsi"/>
          <w:snapToGrid w:val="0"/>
          <w:sz w:val="26"/>
          <w:szCs w:val="26"/>
        </w:rPr>
        <w:t xml:space="preserve">. США, </w:t>
      </w:r>
      <w:r w:rsidR="00691B9D" w:rsidRPr="00961504">
        <w:rPr>
          <w:rFonts w:ascii="Calibri" w:hAnsi="Calibri" w:cstheme="minorHAnsi"/>
          <w:snapToGrid w:val="0"/>
          <w:sz w:val="26"/>
          <w:szCs w:val="26"/>
        </w:rPr>
        <w:t xml:space="preserve">або </w:t>
      </w:r>
      <w:r w:rsidR="00091A3B">
        <w:rPr>
          <w:rFonts w:ascii="Calibri" w:hAnsi="Calibri" w:cstheme="minorHAnsi"/>
          <w:snapToGrid w:val="0"/>
          <w:sz w:val="26"/>
          <w:szCs w:val="26"/>
        </w:rPr>
        <w:t>81,2</w:t>
      </w:r>
      <w:r w:rsidR="00691B9D" w:rsidRPr="00961504">
        <w:rPr>
          <w:rFonts w:ascii="Calibri" w:hAnsi="Calibri" w:cstheme="minorHAnsi"/>
          <w:snapToGrid w:val="0"/>
          <w:sz w:val="26"/>
          <w:szCs w:val="26"/>
        </w:rPr>
        <w:t>%</w:t>
      </w:r>
      <w:r w:rsidR="00B5030D" w:rsidRPr="00961504">
        <w:rPr>
          <w:rFonts w:ascii="Calibri" w:hAnsi="Calibri" w:cstheme="minorHAnsi"/>
          <w:snapToGrid w:val="0"/>
          <w:sz w:val="26"/>
          <w:szCs w:val="26"/>
        </w:rPr>
        <w:t xml:space="preserve"> порівняно із</w:t>
      </w:r>
      <w:r w:rsidR="005F4D6D" w:rsidRPr="00961504">
        <w:rPr>
          <w:rFonts w:ascii="Calibri" w:hAnsi="Calibri" w:cstheme="minorHAnsi"/>
          <w:snapToGrid w:val="0"/>
          <w:sz w:val="26"/>
          <w:szCs w:val="26"/>
        </w:rPr>
        <w:t xml:space="preserve"> січнем</w:t>
      </w:r>
      <w:r w:rsidR="007D66A7" w:rsidRPr="00961504">
        <w:rPr>
          <w:rFonts w:ascii="Calibri" w:hAnsi="Calibri" w:cstheme="minorHAnsi"/>
          <w:snapToGrid w:val="0"/>
          <w:sz w:val="26"/>
          <w:szCs w:val="26"/>
        </w:rPr>
        <w:t>–</w:t>
      </w:r>
      <w:r w:rsidR="00091A3B">
        <w:rPr>
          <w:rFonts w:ascii="Calibri" w:hAnsi="Calibri" w:cstheme="minorHAnsi"/>
          <w:snapToGrid w:val="0"/>
          <w:sz w:val="26"/>
          <w:szCs w:val="26"/>
        </w:rPr>
        <w:t>травнем</w:t>
      </w:r>
      <w:r w:rsidR="00B5030D" w:rsidRPr="00961504">
        <w:rPr>
          <w:rFonts w:ascii="Calibri" w:hAnsi="Calibri" w:cstheme="minorHAnsi"/>
          <w:snapToGrid w:val="0"/>
          <w:sz w:val="26"/>
          <w:szCs w:val="26"/>
        </w:rPr>
        <w:t xml:space="preserve"> </w:t>
      </w:r>
      <w:r w:rsidR="002A4375" w:rsidRPr="00961504">
        <w:rPr>
          <w:rFonts w:ascii="Calibri" w:hAnsi="Calibri" w:cstheme="minorHAnsi"/>
          <w:snapToGrid w:val="0"/>
          <w:sz w:val="26"/>
          <w:szCs w:val="26"/>
        </w:rPr>
        <w:t>20</w:t>
      </w:r>
      <w:r w:rsidR="00BA1E84" w:rsidRPr="00961504">
        <w:rPr>
          <w:rFonts w:ascii="Calibri" w:hAnsi="Calibri" w:cstheme="minorHAnsi"/>
          <w:snapToGrid w:val="0"/>
          <w:sz w:val="26"/>
          <w:szCs w:val="26"/>
        </w:rPr>
        <w:t>2</w:t>
      </w:r>
      <w:r w:rsidR="005F4D6D" w:rsidRPr="00961504">
        <w:rPr>
          <w:rFonts w:ascii="Calibri" w:hAnsi="Calibri" w:cstheme="minorHAnsi"/>
          <w:snapToGrid w:val="0"/>
          <w:sz w:val="26"/>
          <w:szCs w:val="26"/>
        </w:rPr>
        <w:t>2</w:t>
      </w:r>
      <w:r w:rsidR="002A4375" w:rsidRPr="00961504">
        <w:rPr>
          <w:rFonts w:ascii="Calibri" w:hAnsi="Calibri" w:cstheme="minorHAnsi"/>
          <w:snapToGrid w:val="0"/>
          <w:sz w:val="26"/>
          <w:szCs w:val="26"/>
        </w:rPr>
        <w:t xml:space="preserve"> р.</w:t>
      </w:r>
      <w:r w:rsidR="00691B9D"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імпорт</w:t>
      </w:r>
      <w:r w:rsidR="00691B9D"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w:t>
      </w:r>
      <w:r w:rsidR="00DE30A6" w:rsidRPr="00961504">
        <w:rPr>
          <w:rFonts w:ascii="Calibri" w:hAnsi="Calibri" w:cstheme="minorHAnsi"/>
          <w:snapToGrid w:val="0"/>
          <w:sz w:val="26"/>
          <w:szCs w:val="26"/>
        </w:rPr>
        <w:t xml:space="preserve"> </w:t>
      </w:r>
      <w:r w:rsidR="00091A3B">
        <w:rPr>
          <w:rFonts w:ascii="Calibri" w:hAnsi="Calibri" w:cstheme="minorHAnsi"/>
          <w:snapToGrid w:val="0"/>
          <w:sz w:val="26"/>
          <w:szCs w:val="26"/>
        </w:rPr>
        <w:t>572,6</w:t>
      </w:r>
      <w:r w:rsidR="00B12F3C" w:rsidRPr="00961504">
        <w:rPr>
          <w:rFonts w:ascii="Calibri" w:hAnsi="Calibri" w:cstheme="minorHAnsi"/>
          <w:snapToGrid w:val="0"/>
          <w:sz w:val="26"/>
          <w:szCs w:val="26"/>
        </w:rPr>
        <w:t xml:space="preserve"> </w:t>
      </w:r>
      <w:proofErr w:type="spellStart"/>
      <w:r w:rsidR="008812C7"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.дол</w:t>
      </w:r>
      <w:proofErr w:type="spellEnd"/>
      <w:r w:rsidR="00D820BF" w:rsidRPr="00961504">
        <w:rPr>
          <w:rFonts w:ascii="Calibri" w:hAnsi="Calibri" w:cstheme="minorHAnsi"/>
          <w:snapToGrid w:val="0"/>
          <w:sz w:val="26"/>
          <w:szCs w:val="26"/>
        </w:rPr>
        <w:t>.</w:t>
      </w:r>
      <w:r w:rsidR="00691B9D" w:rsidRPr="00961504">
        <w:rPr>
          <w:rFonts w:ascii="Calibri" w:hAnsi="Calibri" w:cstheme="minorHAnsi"/>
          <w:snapToGrid w:val="0"/>
          <w:sz w:val="26"/>
          <w:szCs w:val="26"/>
        </w:rPr>
        <w:t xml:space="preserve">, або </w:t>
      </w:r>
      <w:r w:rsidR="004A69ED" w:rsidRPr="00961504">
        <w:rPr>
          <w:rFonts w:ascii="Calibri" w:hAnsi="Calibri" w:cstheme="minorHAnsi"/>
          <w:snapToGrid w:val="0"/>
          <w:sz w:val="26"/>
          <w:szCs w:val="26"/>
        </w:rPr>
        <w:t>1</w:t>
      </w:r>
      <w:r w:rsidR="00091A3B">
        <w:rPr>
          <w:rFonts w:ascii="Calibri" w:hAnsi="Calibri" w:cstheme="minorHAnsi"/>
          <w:snapToGrid w:val="0"/>
          <w:sz w:val="26"/>
          <w:szCs w:val="26"/>
        </w:rPr>
        <w:t>2</w:t>
      </w:r>
      <w:r w:rsidR="00385E55" w:rsidRPr="00961504">
        <w:rPr>
          <w:rFonts w:ascii="Calibri" w:hAnsi="Calibri" w:cstheme="minorHAnsi"/>
          <w:snapToGrid w:val="0"/>
          <w:sz w:val="26"/>
          <w:szCs w:val="26"/>
        </w:rPr>
        <w:t>8,</w:t>
      </w:r>
      <w:r w:rsidR="00091A3B">
        <w:rPr>
          <w:rFonts w:ascii="Calibri" w:hAnsi="Calibri" w:cstheme="minorHAnsi"/>
          <w:snapToGrid w:val="0"/>
          <w:sz w:val="26"/>
          <w:szCs w:val="26"/>
        </w:rPr>
        <w:t>3</w:t>
      </w:r>
      <w:r w:rsidR="00691B9D" w:rsidRPr="00961504">
        <w:rPr>
          <w:rFonts w:ascii="Calibri" w:hAnsi="Calibri" w:cstheme="minorHAnsi"/>
          <w:snapToGrid w:val="0"/>
          <w:sz w:val="26"/>
          <w:szCs w:val="26"/>
        </w:rPr>
        <w:t>%.</w:t>
      </w:r>
      <w:r w:rsidR="00443093" w:rsidRPr="00961504">
        <w:rPr>
          <w:rFonts w:ascii="Calibri" w:hAnsi="Calibri" w:cstheme="minorHAnsi"/>
          <w:snapToGrid w:val="0"/>
          <w:sz w:val="26"/>
          <w:szCs w:val="26"/>
        </w:rPr>
        <w:t xml:space="preserve"> </w:t>
      </w:r>
      <w:r w:rsidR="00473502" w:rsidRPr="00961504">
        <w:rPr>
          <w:rFonts w:ascii="Calibri" w:hAnsi="Calibri" w:cstheme="minorHAnsi"/>
          <w:snapToGrid w:val="0"/>
          <w:sz w:val="26"/>
          <w:szCs w:val="26"/>
        </w:rPr>
        <w:t>Негативне</w:t>
      </w:r>
      <w:r w:rsidR="00D820BF" w:rsidRPr="00961504">
        <w:rPr>
          <w:rFonts w:ascii="Calibri" w:hAnsi="Calibri" w:cstheme="minorHAnsi"/>
          <w:snapToGrid w:val="0"/>
          <w:sz w:val="26"/>
          <w:szCs w:val="26"/>
        </w:rPr>
        <w:t xml:space="preserve"> сальдо </w:t>
      </w:r>
      <w:r w:rsidR="005C5B69" w:rsidRPr="00961504">
        <w:rPr>
          <w:rFonts w:ascii="Calibri" w:hAnsi="Calibri" w:cstheme="minorHAnsi"/>
          <w:snapToGrid w:val="0"/>
          <w:sz w:val="26"/>
          <w:szCs w:val="26"/>
        </w:rPr>
        <w:t>склало</w:t>
      </w:r>
      <w:r w:rsidR="00D820BF" w:rsidRPr="00961504">
        <w:rPr>
          <w:rFonts w:ascii="Calibri" w:hAnsi="Calibri" w:cstheme="minorHAnsi"/>
          <w:snapToGrid w:val="0"/>
          <w:sz w:val="26"/>
          <w:szCs w:val="26"/>
        </w:rPr>
        <w:t xml:space="preserve"> </w:t>
      </w:r>
      <w:r w:rsidR="004A69ED" w:rsidRPr="00961504">
        <w:rPr>
          <w:rFonts w:ascii="Calibri" w:hAnsi="Calibri" w:cstheme="minorHAnsi"/>
          <w:snapToGrid w:val="0"/>
          <w:sz w:val="26"/>
          <w:szCs w:val="26"/>
        </w:rPr>
        <w:t>2</w:t>
      </w:r>
      <w:r w:rsidR="00091A3B">
        <w:rPr>
          <w:rFonts w:ascii="Calibri" w:hAnsi="Calibri" w:cstheme="minorHAnsi"/>
          <w:snapToGrid w:val="0"/>
          <w:sz w:val="26"/>
          <w:szCs w:val="26"/>
        </w:rPr>
        <w:t>46</w:t>
      </w:r>
      <w:r w:rsidR="004A69ED" w:rsidRPr="00961504">
        <w:rPr>
          <w:rFonts w:ascii="Calibri" w:hAnsi="Calibri" w:cstheme="minorHAnsi"/>
          <w:snapToGrid w:val="0"/>
          <w:sz w:val="26"/>
          <w:szCs w:val="26"/>
        </w:rPr>
        <w:t>,</w:t>
      </w:r>
      <w:r w:rsidR="00091A3B">
        <w:rPr>
          <w:rFonts w:ascii="Calibri" w:hAnsi="Calibri" w:cstheme="minorHAnsi"/>
          <w:snapToGrid w:val="0"/>
          <w:sz w:val="26"/>
          <w:szCs w:val="26"/>
        </w:rPr>
        <w:t>3</w:t>
      </w:r>
      <w:r w:rsidR="00B12F3C" w:rsidRPr="00961504">
        <w:rPr>
          <w:rFonts w:ascii="Calibri" w:hAnsi="Calibri" w:cstheme="minorHAnsi"/>
          <w:snapToGrid w:val="0"/>
          <w:sz w:val="26"/>
          <w:szCs w:val="26"/>
        </w:rPr>
        <w:t xml:space="preserve"> </w:t>
      </w:r>
      <w:proofErr w:type="spellStart"/>
      <w:r w:rsidR="008812C7"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.дол</w:t>
      </w:r>
      <w:proofErr w:type="spellEnd"/>
      <w:r w:rsidR="00D820BF" w:rsidRPr="00961504">
        <w:rPr>
          <w:rFonts w:ascii="Calibri" w:hAnsi="Calibri" w:cstheme="minorHAnsi"/>
          <w:snapToGrid w:val="0"/>
          <w:sz w:val="26"/>
          <w:szCs w:val="26"/>
        </w:rPr>
        <w:t>. (</w:t>
      </w:r>
      <w:r w:rsidRPr="00961504">
        <w:rPr>
          <w:rFonts w:ascii="Calibri" w:hAnsi="Calibri" w:cstheme="minorHAnsi"/>
          <w:snapToGrid w:val="0"/>
          <w:sz w:val="26"/>
          <w:szCs w:val="26"/>
        </w:rPr>
        <w:t>у</w:t>
      </w:r>
      <w:r w:rsidR="007D0D60" w:rsidRPr="00961504">
        <w:rPr>
          <w:rFonts w:ascii="Calibri" w:hAnsi="Calibri" w:cstheme="minorHAnsi"/>
          <w:snapToGrid w:val="0"/>
          <w:sz w:val="26"/>
          <w:szCs w:val="26"/>
        </w:rPr>
        <w:t xml:space="preserve"> </w:t>
      </w:r>
      <w:r w:rsidR="005F4D6D" w:rsidRPr="00961504">
        <w:rPr>
          <w:rFonts w:ascii="Calibri" w:hAnsi="Calibri" w:cstheme="minorHAnsi"/>
          <w:snapToGrid w:val="0"/>
          <w:sz w:val="26"/>
          <w:szCs w:val="26"/>
        </w:rPr>
        <w:t>січні</w:t>
      </w:r>
      <w:r w:rsidR="008E116D" w:rsidRPr="00961504">
        <w:rPr>
          <w:rFonts w:ascii="Calibri" w:hAnsi="Calibri" w:cstheme="minorHAnsi"/>
          <w:snapToGrid w:val="0"/>
          <w:sz w:val="26"/>
          <w:szCs w:val="26"/>
        </w:rPr>
        <w:t>–</w:t>
      </w:r>
      <w:r w:rsidR="00091A3B">
        <w:rPr>
          <w:rFonts w:ascii="Calibri" w:hAnsi="Calibri" w:cstheme="minorHAnsi"/>
          <w:snapToGrid w:val="0"/>
          <w:sz w:val="26"/>
          <w:szCs w:val="26"/>
        </w:rPr>
        <w:t>травні</w:t>
      </w:r>
      <w:r w:rsidR="005F4D6D"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20</w:t>
      </w:r>
      <w:r w:rsidR="00BA1E84" w:rsidRPr="00961504">
        <w:rPr>
          <w:rFonts w:ascii="Calibri" w:hAnsi="Calibri" w:cstheme="minorHAnsi"/>
          <w:snapToGrid w:val="0"/>
          <w:sz w:val="26"/>
          <w:szCs w:val="26"/>
        </w:rPr>
        <w:t>2</w:t>
      </w:r>
      <w:r w:rsidR="005F4D6D" w:rsidRPr="00961504">
        <w:rPr>
          <w:rFonts w:ascii="Calibri" w:hAnsi="Calibri" w:cstheme="minorHAnsi"/>
          <w:snapToGrid w:val="0"/>
          <w:sz w:val="26"/>
          <w:szCs w:val="26"/>
        </w:rPr>
        <w:t>2</w:t>
      </w:r>
      <w:r w:rsidR="0039323B"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р.</w:t>
      </w:r>
      <w:r w:rsidR="00307B53" w:rsidRPr="00961504">
        <w:rPr>
          <w:rFonts w:ascii="Calibri" w:hAnsi="Calibri" w:cstheme="minorHAnsi"/>
          <w:snapToGrid w:val="0"/>
          <w:sz w:val="26"/>
          <w:szCs w:val="26"/>
        </w:rPr>
        <w:t xml:space="preserve"> </w:t>
      </w:r>
      <w:r w:rsidR="006C3920" w:rsidRPr="00961504">
        <w:rPr>
          <w:rFonts w:ascii="Calibri" w:hAnsi="Calibri" w:cstheme="minorHAnsi"/>
          <w:snapToGrid w:val="0"/>
          <w:sz w:val="26"/>
          <w:szCs w:val="26"/>
        </w:rPr>
        <w:t xml:space="preserve">також </w:t>
      </w:r>
      <w:r w:rsidR="00473502" w:rsidRPr="00961504">
        <w:rPr>
          <w:rFonts w:ascii="Calibri" w:hAnsi="Calibri" w:cstheme="minorHAnsi"/>
          <w:snapToGrid w:val="0"/>
          <w:sz w:val="26"/>
          <w:szCs w:val="26"/>
        </w:rPr>
        <w:t>негативне</w:t>
      </w:r>
      <w:r w:rsidR="00307B53" w:rsidRPr="00961504">
        <w:rPr>
          <w:rFonts w:ascii="Calibri" w:hAnsi="Calibri" w:cstheme="minorHAnsi"/>
          <w:snapToGrid w:val="0"/>
          <w:sz w:val="26"/>
          <w:szCs w:val="26"/>
        </w:rPr>
        <w:t xml:space="preserve"> </w:t>
      </w:r>
      <w:r w:rsidRPr="00961504">
        <w:rPr>
          <w:rFonts w:ascii="Calibri" w:hAnsi="Calibri" w:cstheme="minorHAnsi"/>
          <w:snapToGrid w:val="0"/>
          <w:sz w:val="26"/>
          <w:szCs w:val="26"/>
        </w:rPr>
        <w:t>–</w:t>
      </w:r>
      <w:r w:rsidR="00FF6690" w:rsidRPr="00961504">
        <w:rPr>
          <w:rFonts w:ascii="Calibri" w:hAnsi="Calibri" w:cstheme="minorHAnsi"/>
          <w:snapToGrid w:val="0"/>
          <w:sz w:val="26"/>
          <w:szCs w:val="26"/>
        </w:rPr>
        <w:t xml:space="preserve"> </w:t>
      </w:r>
      <w:r w:rsidR="00BD1275" w:rsidRPr="00BD1275">
        <w:rPr>
          <w:rFonts w:ascii="Calibri" w:hAnsi="Calibri" w:cstheme="minorHAnsi"/>
          <w:snapToGrid w:val="0"/>
          <w:sz w:val="26"/>
          <w:szCs w:val="26"/>
        </w:rPr>
        <w:t>44,5</w:t>
      </w:r>
      <w:r w:rsidR="00FF6690" w:rsidRPr="00BD1275">
        <w:rPr>
          <w:rFonts w:ascii="Calibri" w:hAnsi="Calibri" w:cstheme="minorHAnsi"/>
          <w:snapToGrid w:val="0"/>
          <w:sz w:val="26"/>
          <w:szCs w:val="26"/>
        </w:rPr>
        <w:t xml:space="preserve"> </w:t>
      </w:r>
      <w:proofErr w:type="spellStart"/>
      <w:r w:rsidR="00356FD8" w:rsidRPr="00BD1275">
        <w:rPr>
          <w:rFonts w:ascii="Calibri" w:hAnsi="Calibri" w:cstheme="minorHAnsi"/>
          <w:snapToGrid w:val="0"/>
          <w:sz w:val="26"/>
          <w:szCs w:val="26"/>
        </w:rPr>
        <w:t>млн</w:t>
      </w:r>
      <w:r w:rsidR="00D820BF" w:rsidRPr="00BD1275">
        <w:rPr>
          <w:rFonts w:ascii="Calibri" w:hAnsi="Calibri" w:cstheme="minorHAnsi"/>
          <w:snapToGrid w:val="0"/>
          <w:sz w:val="26"/>
          <w:szCs w:val="26"/>
        </w:rPr>
        <w:t>.дол</w:t>
      </w:r>
      <w:proofErr w:type="spellEnd"/>
      <w:r w:rsidR="00D820BF" w:rsidRPr="00BD1275">
        <w:rPr>
          <w:rFonts w:ascii="Calibri" w:hAnsi="Calibri" w:cstheme="minorHAnsi"/>
          <w:snapToGrid w:val="0"/>
          <w:sz w:val="26"/>
          <w:szCs w:val="26"/>
        </w:rPr>
        <w:t>.).</w:t>
      </w:r>
    </w:p>
    <w:p w:rsidR="00D820BF" w:rsidRPr="004379CF" w:rsidRDefault="00D820BF" w:rsidP="00C363E4">
      <w:pPr>
        <w:ind w:firstLine="567"/>
        <w:jc w:val="both"/>
        <w:rPr>
          <w:rFonts w:ascii="Calibri" w:hAnsi="Calibri" w:cstheme="minorHAnsi"/>
          <w:snapToGrid w:val="0"/>
          <w:sz w:val="26"/>
          <w:szCs w:val="26"/>
        </w:rPr>
      </w:pPr>
      <w:r w:rsidRPr="00BD1275">
        <w:rPr>
          <w:rFonts w:ascii="Calibri" w:hAnsi="Calibri" w:cstheme="minorHAnsi"/>
          <w:snapToGrid w:val="0"/>
          <w:sz w:val="26"/>
          <w:szCs w:val="26"/>
        </w:rPr>
        <w:t xml:space="preserve">Коефіцієнт покриття експортом імпорту склав </w:t>
      </w:r>
      <w:r w:rsidR="006679AC" w:rsidRPr="00BD1275">
        <w:rPr>
          <w:rFonts w:ascii="Calibri" w:hAnsi="Calibri" w:cstheme="minorHAnsi"/>
          <w:snapToGrid w:val="0"/>
          <w:sz w:val="26"/>
          <w:szCs w:val="26"/>
        </w:rPr>
        <w:t>0,</w:t>
      </w:r>
      <w:r w:rsidR="007F01E0" w:rsidRPr="00BD1275">
        <w:rPr>
          <w:rFonts w:ascii="Calibri" w:hAnsi="Calibri" w:cstheme="minorHAnsi"/>
          <w:snapToGrid w:val="0"/>
          <w:sz w:val="26"/>
          <w:szCs w:val="26"/>
        </w:rPr>
        <w:t>5</w:t>
      </w:r>
      <w:r w:rsidR="00190A61" w:rsidRPr="00BD1275">
        <w:rPr>
          <w:rFonts w:ascii="Calibri" w:hAnsi="Calibri" w:cstheme="minorHAnsi"/>
          <w:snapToGrid w:val="0"/>
          <w:sz w:val="26"/>
          <w:szCs w:val="26"/>
        </w:rPr>
        <w:t>7</w:t>
      </w:r>
      <w:r w:rsidR="00376559" w:rsidRPr="00BD1275">
        <w:rPr>
          <w:rFonts w:ascii="Calibri" w:hAnsi="Calibri" w:cstheme="minorHAnsi"/>
          <w:snapToGrid w:val="0"/>
          <w:sz w:val="26"/>
          <w:szCs w:val="26"/>
        </w:rPr>
        <w:t xml:space="preserve"> </w:t>
      </w:r>
      <w:r w:rsidRPr="00BD1275">
        <w:rPr>
          <w:rFonts w:ascii="Calibri" w:hAnsi="Calibri" w:cstheme="minorHAnsi"/>
          <w:snapToGrid w:val="0"/>
          <w:sz w:val="26"/>
          <w:szCs w:val="26"/>
        </w:rPr>
        <w:t>(</w:t>
      </w:r>
      <w:r w:rsidR="00BA4ED4" w:rsidRPr="00BD1275">
        <w:rPr>
          <w:rFonts w:ascii="Calibri" w:hAnsi="Calibri" w:cstheme="minorHAnsi"/>
          <w:snapToGrid w:val="0"/>
          <w:sz w:val="26"/>
          <w:szCs w:val="26"/>
        </w:rPr>
        <w:t>у</w:t>
      </w:r>
      <w:r w:rsidR="00DF2B56" w:rsidRPr="00BD1275">
        <w:rPr>
          <w:rFonts w:ascii="Calibri" w:hAnsi="Calibri" w:cstheme="minorHAnsi"/>
          <w:snapToGrid w:val="0"/>
          <w:sz w:val="26"/>
          <w:szCs w:val="26"/>
        </w:rPr>
        <w:t xml:space="preserve"> січні</w:t>
      </w:r>
      <w:r w:rsidR="007F01E0" w:rsidRPr="00BD1275">
        <w:rPr>
          <w:rFonts w:ascii="Calibri" w:hAnsi="Calibri" w:cstheme="minorHAnsi"/>
          <w:snapToGrid w:val="0"/>
          <w:sz w:val="26"/>
          <w:szCs w:val="26"/>
        </w:rPr>
        <w:t>–</w:t>
      </w:r>
      <w:r w:rsidR="00091A3B" w:rsidRPr="00BD1275">
        <w:rPr>
          <w:rFonts w:ascii="Calibri" w:hAnsi="Calibri" w:cstheme="minorHAnsi"/>
          <w:snapToGrid w:val="0"/>
          <w:sz w:val="26"/>
          <w:szCs w:val="26"/>
        </w:rPr>
        <w:t>травні</w:t>
      </w:r>
      <w:r w:rsidR="001E3643" w:rsidRPr="00BD1275">
        <w:rPr>
          <w:rFonts w:ascii="Calibri" w:hAnsi="Calibri" w:cstheme="minorHAnsi"/>
          <w:snapToGrid w:val="0"/>
          <w:sz w:val="26"/>
          <w:szCs w:val="26"/>
        </w:rPr>
        <w:t xml:space="preserve"> </w:t>
      </w:r>
      <w:r w:rsidRPr="00BD1275">
        <w:rPr>
          <w:rFonts w:ascii="Calibri" w:hAnsi="Calibri" w:cstheme="minorHAnsi"/>
          <w:snapToGrid w:val="0"/>
          <w:sz w:val="26"/>
          <w:szCs w:val="26"/>
        </w:rPr>
        <w:t>20</w:t>
      </w:r>
      <w:r w:rsidR="00BA1E84" w:rsidRPr="00BD1275">
        <w:rPr>
          <w:rFonts w:ascii="Calibri" w:hAnsi="Calibri" w:cstheme="minorHAnsi"/>
          <w:snapToGrid w:val="0"/>
          <w:sz w:val="26"/>
          <w:szCs w:val="26"/>
        </w:rPr>
        <w:t>2</w:t>
      </w:r>
      <w:r w:rsidR="00DF2B56" w:rsidRPr="00BD1275">
        <w:rPr>
          <w:rFonts w:ascii="Calibri" w:hAnsi="Calibri" w:cstheme="minorHAnsi"/>
          <w:snapToGrid w:val="0"/>
          <w:sz w:val="26"/>
          <w:szCs w:val="26"/>
        </w:rPr>
        <w:t>2</w:t>
      </w:r>
      <w:r w:rsidR="0039323B" w:rsidRPr="00BD1275">
        <w:rPr>
          <w:rFonts w:ascii="Calibri" w:hAnsi="Calibri" w:cstheme="minorHAnsi"/>
          <w:snapToGrid w:val="0"/>
          <w:sz w:val="26"/>
          <w:szCs w:val="26"/>
        </w:rPr>
        <w:t xml:space="preserve"> </w:t>
      </w:r>
      <w:r w:rsidRPr="00BD1275">
        <w:rPr>
          <w:rFonts w:ascii="Calibri" w:hAnsi="Calibri" w:cstheme="minorHAnsi"/>
          <w:snapToGrid w:val="0"/>
          <w:sz w:val="26"/>
          <w:szCs w:val="26"/>
        </w:rPr>
        <w:t xml:space="preserve">р. – </w:t>
      </w:r>
      <w:r w:rsidR="006679AC" w:rsidRPr="00BD1275">
        <w:rPr>
          <w:rFonts w:ascii="Calibri" w:hAnsi="Calibri" w:cstheme="minorHAnsi"/>
          <w:snapToGrid w:val="0"/>
          <w:sz w:val="26"/>
          <w:szCs w:val="26"/>
        </w:rPr>
        <w:t>0,</w:t>
      </w:r>
      <w:r w:rsidR="00BD1275" w:rsidRPr="00BD1275">
        <w:rPr>
          <w:rFonts w:ascii="Calibri" w:hAnsi="Calibri" w:cstheme="minorHAnsi"/>
          <w:snapToGrid w:val="0"/>
          <w:sz w:val="26"/>
          <w:szCs w:val="26"/>
        </w:rPr>
        <w:t>90</w:t>
      </w:r>
      <w:r w:rsidRPr="00BD1275">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4379CF">
        <w:rPr>
          <w:rFonts w:ascii="Calibri" w:hAnsi="Calibri" w:cstheme="minorHAnsi"/>
          <w:snapToGrid w:val="0"/>
          <w:sz w:val="26"/>
          <w:szCs w:val="26"/>
        </w:rPr>
        <w:t xml:space="preserve">Зовнішньоторговельні операції проводились із партнерами із </w:t>
      </w:r>
      <w:r w:rsidR="00F84F2E" w:rsidRPr="004379CF">
        <w:rPr>
          <w:rFonts w:ascii="Calibri" w:hAnsi="Calibri" w:cstheme="minorHAnsi"/>
          <w:snapToGrid w:val="0"/>
          <w:sz w:val="26"/>
          <w:szCs w:val="26"/>
        </w:rPr>
        <w:t>1</w:t>
      </w:r>
      <w:r w:rsidR="005A4CB6">
        <w:rPr>
          <w:rFonts w:ascii="Calibri" w:hAnsi="Calibri" w:cstheme="minorHAnsi"/>
          <w:snapToGrid w:val="0"/>
          <w:sz w:val="26"/>
          <w:szCs w:val="26"/>
        </w:rPr>
        <w:t>3</w:t>
      </w:r>
      <w:r w:rsidR="0047702B">
        <w:rPr>
          <w:rFonts w:ascii="Calibri" w:hAnsi="Calibri" w:cstheme="minorHAnsi"/>
          <w:snapToGrid w:val="0"/>
          <w:sz w:val="26"/>
          <w:szCs w:val="26"/>
        </w:rPr>
        <w:t>4</w:t>
      </w:r>
      <w:r w:rsidRPr="004379CF">
        <w:rPr>
          <w:rFonts w:ascii="Calibri" w:hAnsi="Calibri" w:cstheme="minorHAnsi"/>
          <w:snapToGrid w:val="0"/>
          <w:sz w:val="26"/>
          <w:szCs w:val="26"/>
        </w:rPr>
        <w:t xml:space="preserve"> </w:t>
      </w:r>
      <w:r w:rsidRPr="00215B77">
        <w:rPr>
          <w:rFonts w:ascii="Calibri" w:hAnsi="Calibri" w:cstheme="minorHAnsi"/>
          <w:snapToGrid w:val="0"/>
          <w:sz w:val="26"/>
          <w:szCs w:val="26"/>
        </w:rPr>
        <w:t>країн св</w:t>
      </w:r>
      <w:r w:rsidRPr="004379CF">
        <w:rPr>
          <w:rFonts w:ascii="Calibri" w:hAnsi="Calibri" w:cstheme="minorHAnsi"/>
          <w:snapToGrid w:val="0"/>
          <w:sz w:val="26"/>
          <w:szCs w:val="26"/>
        </w:rPr>
        <w:t>іту</w:t>
      </w:r>
      <w:r w:rsidRPr="004379CF">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547605">
        <w:rPr>
          <w:rFonts w:ascii="Calibri" w:eastAsia="Calibri" w:hAnsi="Calibri"/>
          <w:b/>
          <w:spacing w:val="-6"/>
          <w:sz w:val="20"/>
          <w:szCs w:val="20"/>
          <w:lang w:eastAsia="en-US"/>
        </w:rPr>
        <w:t>Темпи зростання (зниження) експорту товарів</w:t>
      </w:r>
      <w:r w:rsidRPr="00547605">
        <w:rPr>
          <w:rFonts w:ascii="Calibri" w:eastAsia="Calibri" w:hAnsi="Calibri"/>
          <w:spacing w:val="-6"/>
          <w:sz w:val="20"/>
          <w:szCs w:val="20"/>
          <w:lang w:eastAsia="en-US"/>
        </w:rPr>
        <w:t xml:space="preserve"> </w:t>
      </w:r>
      <w:r w:rsidRPr="00547605">
        <w:rPr>
          <w:rFonts w:ascii="Calibri" w:eastAsia="Calibri" w:hAnsi="Calibri"/>
          <w:spacing w:val="-6"/>
          <w:sz w:val="20"/>
          <w:szCs w:val="20"/>
          <w:lang w:eastAsia="en-US"/>
        </w:rPr>
        <w:tab/>
      </w:r>
      <w:r w:rsidRPr="00547605">
        <w:rPr>
          <w:rFonts w:ascii="Calibri" w:eastAsia="Calibri" w:hAnsi="Calibri"/>
          <w:spacing w:val="-6"/>
          <w:sz w:val="20"/>
          <w:szCs w:val="20"/>
          <w:lang w:eastAsia="en-US"/>
        </w:rPr>
        <w:tab/>
      </w:r>
      <w:r w:rsidRPr="00AC5978">
        <w:rPr>
          <w:rFonts w:ascii="Calibri" w:eastAsia="Calibri" w:hAnsi="Calibri"/>
          <w:spacing w:val="-6"/>
          <w:sz w:val="20"/>
          <w:szCs w:val="20"/>
          <w:lang w:eastAsia="en-US"/>
        </w:rPr>
        <w:t xml:space="preserve">       </w:t>
      </w:r>
      <w:r w:rsidRPr="00AC5978">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F46924"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7CCEFAB" wp14:editId="1C134F36">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983258" w:rsidRDefault="00837272"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5BFC4D4C" wp14:editId="792E4821">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rsidR="00034E74" w:rsidRPr="00E868E5" w:rsidRDefault="00034E74" w:rsidP="00034E74">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BB0D37" w:rsidRPr="00A25EA9"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w:t>
      </w:r>
      <w:r w:rsidRPr="00A25EA9">
        <w:rPr>
          <w:rFonts w:ascii="Calibri" w:hAnsi="Calibri"/>
          <w:sz w:val="22"/>
          <w:szCs w:val="22"/>
        </w:rPr>
        <w:t xml:space="preserve">здійснюється на момент, коли вони ввозяться в межі або вивозяться за межі економічної території країни. </w:t>
      </w:r>
      <w:r w:rsidRPr="00A25EA9">
        <w:rPr>
          <w:rFonts w:ascii="Calibri" w:eastAsia="Calibri" w:hAnsi="Calibri"/>
          <w:sz w:val="22"/>
          <w:szCs w:val="22"/>
          <w:lang w:eastAsia="en-US"/>
        </w:rPr>
        <w:t xml:space="preserve">Межі статистичної території країни збігаються з її економічною територією. </w:t>
      </w:r>
    </w:p>
    <w:p w:rsidR="00D05B10" w:rsidRPr="00D05B10" w:rsidRDefault="00D05B10" w:rsidP="00D05B10">
      <w:pPr>
        <w:spacing w:before="100"/>
        <w:jc w:val="both"/>
        <w:rPr>
          <w:rFonts w:asciiTheme="minorHAnsi" w:hAnsiTheme="minorHAnsi"/>
          <w:sz w:val="22"/>
          <w:szCs w:val="22"/>
        </w:rPr>
      </w:pPr>
      <w:r w:rsidRPr="00A25EA9">
        <w:rPr>
          <w:rFonts w:asciiTheme="minorHAnsi" w:hAnsi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A25EA9">
        <w:rPr>
          <w:rStyle w:val="ad"/>
          <w:rFonts w:asciiTheme="minorHAnsi" w:hAnsiTheme="minorHAnsi"/>
          <w:sz w:val="22"/>
          <w:szCs w:val="22"/>
        </w:rPr>
        <w:t>https://zakon.rada.gov.ua/laws/show/2697%D0%B0-20#n2</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BB0D37">
        <w:rPr>
          <w:rFonts w:ascii="Calibri" w:eastAsia="Calibri" w:hAnsi="Calibri"/>
          <w:sz w:val="22"/>
          <w:szCs w:val="22"/>
          <w:lang w:eastAsia="en-US"/>
        </w:rPr>
        <w:t>середньоквартальним</w:t>
      </w:r>
      <w:proofErr w:type="spellEnd"/>
      <w:r w:rsidRPr="00BB0D37">
        <w:rPr>
          <w:rFonts w:ascii="Calibri" w:eastAsia="Calibri" w:hAnsi="Calibri"/>
          <w:sz w:val="22"/>
          <w:szCs w:val="22"/>
          <w:lang w:eastAsia="en-US"/>
        </w:rPr>
        <w:t xml:space="preserve"> курсом, розрахованим на основі щоденних офіційних курсів валют, установлених НБУ. </w:t>
      </w:r>
    </w:p>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val="ru-RU" w:eastAsia="en-US"/>
        </w:rPr>
      </w:pPr>
      <w:r w:rsidRPr="00BB0D37">
        <w:rPr>
          <w:rFonts w:ascii="Calibri" w:eastAsia="Calibri" w:hAnsi="Calibri"/>
          <w:sz w:val="22"/>
          <w:szCs w:val="22"/>
          <w:lang w:eastAsia="en-US"/>
        </w:rPr>
        <w:t>Методологічні положення:</w:t>
      </w:r>
      <w:r w:rsidRPr="00BB0D37">
        <w:rPr>
          <w:rFonts w:ascii="Calibri" w:eastAsia="Calibri" w:hAnsi="Calibri"/>
          <w:sz w:val="22"/>
          <w:szCs w:val="22"/>
          <w:lang w:val="ru-RU" w:eastAsia="en-US"/>
        </w:rPr>
        <w:t xml:space="preserve"> </w:t>
      </w:r>
      <w:hyperlink r:id="rId11" w:history="1">
        <w:r w:rsidRPr="00BB0D37">
          <w:rPr>
            <w:rFonts w:ascii="Calibri" w:eastAsia="Calibri" w:hAnsi="Calibri"/>
            <w:color w:val="0563C1"/>
            <w:sz w:val="22"/>
            <w:szCs w:val="22"/>
            <w:u w:val="single"/>
            <w:lang w:eastAsia="en-US"/>
          </w:rPr>
          <w:t>https://ukrstat.gov.ua/norm_doc/2022/449/449.pdf</w:t>
        </w:r>
      </w:hyperlink>
      <w:r w:rsidRPr="00BB0D37">
        <w:rPr>
          <w:rFonts w:ascii="Calibri" w:eastAsia="Calibri" w:hAnsi="Calibri"/>
          <w:sz w:val="22"/>
          <w:szCs w:val="22"/>
          <w:lang w:val="ru-RU" w:eastAsia="en-US"/>
        </w:rPr>
        <w:t xml:space="preserve"> </w:t>
      </w:r>
    </w:p>
    <w:p w:rsidR="008C6721" w:rsidRDefault="008C6721" w:rsidP="00BB0D37">
      <w:pPr>
        <w:jc w:val="both"/>
        <w:rPr>
          <w:rFonts w:ascii="Calibri" w:eastAsia="Calibri" w:hAnsi="Calibri"/>
          <w:sz w:val="22"/>
          <w:szCs w:val="22"/>
          <w:u w:val="single"/>
          <w:lang w:eastAsia="en-US"/>
        </w:rPr>
      </w:pP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BB0D37" w:rsidRPr="00BB0D37" w:rsidRDefault="00BB0D37" w:rsidP="00BB0D37">
      <w:pPr>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 xml:space="preserve">Розбіжності у даних, які оприлюднюють </w:t>
      </w:r>
      <w:proofErr w:type="spellStart"/>
      <w:r w:rsidRPr="00BB0D37">
        <w:rPr>
          <w:rFonts w:ascii="Calibri" w:eastAsia="Calibri" w:hAnsi="Calibri"/>
          <w:sz w:val="22"/>
          <w:szCs w:val="22"/>
          <w:u w:val="single"/>
          <w:lang w:eastAsia="uk-UA"/>
        </w:rPr>
        <w:t>Держстат</w:t>
      </w:r>
      <w:proofErr w:type="spellEnd"/>
      <w:r w:rsidRPr="00BB0D37">
        <w:rPr>
          <w:rFonts w:ascii="Calibri" w:eastAsia="Calibri" w:hAnsi="Calibri"/>
          <w:sz w:val="22"/>
          <w:szCs w:val="22"/>
          <w:u w:val="single"/>
          <w:lang w:eastAsia="uk-UA"/>
        </w:rPr>
        <w:t>, Держмитслужба та Національний банк</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w:t>
      </w:r>
      <w:proofErr w:type="spellStart"/>
      <w:r w:rsidRPr="00BB0D37">
        <w:rPr>
          <w:rFonts w:ascii="Calibri" w:eastAsia="Calibri" w:hAnsi="Calibri"/>
          <w:sz w:val="22"/>
          <w:szCs w:val="22"/>
          <w:lang w:eastAsia="uk-UA"/>
        </w:rPr>
        <w:t>Держстату</w:t>
      </w:r>
      <w:proofErr w:type="spellEnd"/>
      <w:r w:rsidRPr="00BB0D37">
        <w:rPr>
          <w:rFonts w:ascii="Calibri" w:eastAsia="Calibri" w:hAnsi="Calibri"/>
          <w:sz w:val="22"/>
          <w:szCs w:val="22"/>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BB0D37">
          <w:rPr>
            <w:rFonts w:ascii="Calibri" w:eastAsia="Calibri" w:hAnsi="Calibri"/>
            <w:color w:val="0563C1"/>
            <w:sz w:val="22"/>
            <w:szCs w:val="22"/>
            <w:u w:val="single"/>
            <w:lang w:eastAsia="uk-UA"/>
          </w:rPr>
          <w:t>http://ukrstat.gov.ua/metod_polog/metod_doc/2021/roz_zet/roz_zet.doc</w:t>
        </w:r>
      </w:hyperlink>
    </w:p>
    <w:p w:rsidR="00BB0D37" w:rsidRDefault="00BB0D37" w:rsidP="00BB0D37">
      <w:pPr>
        <w:spacing w:after="160" w:line="259" w:lineRule="auto"/>
        <w:jc w:val="both"/>
        <w:rPr>
          <w:rFonts w:ascii="Calibri" w:eastAsia="Calibri" w:hAnsi="Calibri"/>
          <w:sz w:val="22"/>
          <w:szCs w:val="22"/>
          <w:lang w:eastAsia="uk-UA"/>
        </w:rPr>
      </w:pPr>
    </w:p>
    <w:p w:rsidR="00267A98" w:rsidRPr="00BB0D37" w:rsidRDefault="00267A98" w:rsidP="00BB0D37">
      <w:pPr>
        <w:spacing w:after="160" w:line="259" w:lineRule="auto"/>
        <w:jc w:val="both"/>
        <w:rPr>
          <w:rFonts w:ascii="Calibri" w:eastAsia="Calibri" w:hAnsi="Calibri"/>
          <w:sz w:val="22"/>
          <w:szCs w:val="22"/>
          <w:lang w:eastAsia="uk-UA"/>
        </w:rPr>
      </w:pPr>
    </w:p>
    <w:p w:rsidR="00AC5EE4" w:rsidRDefault="00AC5EE4" w:rsidP="0039323B">
      <w:pPr>
        <w:jc w:val="both"/>
        <w:rPr>
          <w:rFonts w:ascii="Calibri" w:hAnsi="Calibri"/>
          <w:noProof/>
          <w:sz w:val="20"/>
          <w:szCs w:val="20"/>
        </w:rPr>
      </w:pPr>
    </w:p>
    <w:p w:rsidR="009A6A32" w:rsidRPr="00983258" w:rsidRDefault="009A6A32" w:rsidP="0039323B">
      <w:pPr>
        <w:jc w:val="both"/>
        <w:rPr>
          <w:rFonts w:ascii="Calibri" w:hAnsi="Calibri"/>
          <w:noProof/>
          <w:sz w:val="20"/>
          <w:szCs w:val="20"/>
        </w:rPr>
      </w:pPr>
    </w:p>
    <w:p w:rsidR="009662EE" w:rsidRDefault="009662EE" w:rsidP="0039323B">
      <w:pPr>
        <w:jc w:val="both"/>
        <w:rPr>
          <w:rFonts w:ascii="Calibri" w:hAnsi="Calibri"/>
          <w:noProof/>
          <w:sz w:val="20"/>
          <w:szCs w:val="20"/>
        </w:rPr>
      </w:pPr>
      <w:bookmarkStart w:id="1" w:name="_GoBack"/>
      <w:bookmarkEnd w:id="1"/>
    </w:p>
    <w:p w:rsidR="00E51078" w:rsidRDefault="00E51078" w:rsidP="0039323B">
      <w:pPr>
        <w:jc w:val="both"/>
        <w:rPr>
          <w:rFonts w:ascii="Calibri" w:hAnsi="Calibri"/>
          <w:noProof/>
          <w:sz w:val="20"/>
          <w:szCs w:val="20"/>
        </w:rPr>
      </w:pPr>
    </w:p>
    <w:p w:rsidR="0013008A" w:rsidRDefault="0013008A"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Довідка: тел. (057) 706-26-</w:t>
      </w:r>
      <w:r w:rsidR="007E128D">
        <w:rPr>
          <w:rFonts w:ascii="Calibri" w:hAnsi="Calibri"/>
        </w:rPr>
        <w:t>36</w:t>
      </w:r>
      <w:r w:rsidRPr="00983258">
        <w:rPr>
          <w:rFonts w:ascii="Calibri" w:hAnsi="Calibri"/>
        </w:rPr>
        <w:t xml:space="preserve">; </w:t>
      </w:r>
      <w:r w:rsidRPr="00983258">
        <w:rPr>
          <w:rFonts w:ascii="Calibri" w:hAnsi="Calibri" w:cs="Calibri"/>
        </w:rPr>
        <w:t>e-</w:t>
      </w:r>
      <w:proofErr w:type="spellStart"/>
      <w:r w:rsidRPr="00983258">
        <w:rPr>
          <w:rFonts w:ascii="Calibri" w:hAnsi="Calibri" w:cs="Calibri"/>
        </w:rPr>
        <w:t>mail</w:t>
      </w:r>
      <w:proofErr w:type="spellEnd"/>
      <w:r w:rsidRPr="00983258">
        <w:rPr>
          <w:rFonts w:ascii="Calibri" w:hAnsi="Calibri" w:cs="Calibri"/>
        </w:rPr>
        <w:t>: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EC5F36">
        <w:rPr>
          <w:rFonts w:ascii="Calibri" w:hAnsi="Calibri"/>
          <w:b/>
        </w:rPr>
        <w:t>травні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51"/>
        <w:gridCol w:w="952"/>
        <w:gridCol w:w="1145"/>
        <w:gridCol w:w="1104"/>
        <w:gridCol w:w="1068"/>
        <w:gridCol w:w="1214"/>
        <w:gridCol w:w="1106"/>
        <w:gridCol w:w="1214"/>
      </w:tblGrid>
      <w:tr w:rsidR="0077719E" w:rsidRPr="00050CF1" w:rsidTr="00E36852">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E36852">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EC5F36">
              <w:rPr>
                <w:rFonts w:ascii="Calibri" w:hAnsi="Calibri" w:cs="Calibri"/>
                <w:bCs/>
                <w:spacing w:val="-6"/>
                <w:sz w:val="20"/>
                <w:szCs w:val="20"/>
              </w:rPr>
              <w:t>травня</w:t>
            </w:r>
          </w:p>
          <w:p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ного</w:t>
            </w:r>
            <w:proofErr w:type="spellEnd"/>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E93D4C"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C5F36">
              <w:rPr>
                <w:rFonts w:ascii="Calibri" w:hAnsi="Calibri" w:cs="Calibri"/>
                <w:bCs/>
                <w:spacing w:val="-6"/>
                <w:sz w:val="20"/>
                <w:szCs w:val="20"/>
              </w:rPr>
              <w:t>травня</w:t>
            </w:r>
          </w:p>
          <w:p w:rsidR="00263960" w:rsidRPr="00F64A25" w:rsidRDefault="007D66A7" w:rsidP="007D66A7">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ного</w:t>
            </w:r>
            <w:proofErr w:type="spellEnd"/>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423A66" w:rsidRPr="00050CF1" w:rsidTr="00E36852">
        <w:trPr>
          <w:trHeight w:val="255"/>
        </w:trPr>
        <w:tc>
          <w:tcPr>
            <w:tcW w:w="1041" w:type="pct"/>
            <w:tcBorders>
              <w:top w:val="single" w:sz="4" w:space="0" w:color="auto"/>
            </w:tcBorders>
            <w:shd w:val="clear" w:color="auto" w:fill="auto"/>
            <w:vAlign w:val="bottom"/>
          </w:tcPr>
          <w:p w:rsidR="00423A66" w:rsidRPr="00F64A25" w:rsidRDefault="00423A66" w:rsidP="001E702B">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423A66" w:rsidRPr="00F64A25" w:rsidRDefault="00423A66" w:rsidP="001E702B">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423A66" w:rsidRPr="00EF01AF" w:rsidRDefault="00423A66">
            <w:pPr>
              <w:jc w:val="right"/>
              <w:rPr>
                <w:rFonts w:asciiTheme="minorHAnsi" w:hAnsiTheme="minorHAnsi" w:cstheme="minorHAnsi"/>
                <w:b/>
                <w:bCs/>
                <w:sz w:val="20"/>
                <w:szCs w:val="20"/>
              </w:rPr>
            </w:pPr>
            <w:r w:rsidRPr="00EF01AF">
              <w:rPr>
                <w:rFonts w:asciiTheme="minorHAnsi" w:hAnsiTheme="minorHAnsi" w:cstheme="minorHAnsi"/>
                <w:b/>
                <w:bCs/>
                <w:sz w:val="20"/>
                <w:szCs w:val="20"/>
              </w:rPr>
              <w:t>326239,3</w:t>
            </w:r>
          </w:p>
        </w:tc>
        <w:tc>
          <w:tcPr>
            <w:tcW w:w="560" w:type="pct"/>
            <w:tcBorders>
              <w:top w:val="single" w:sz="4" w:space="0" w:color="auto"/>
            </w:tcBorders>
            <w:shd w:val="clear" w:color="auto" w:fill="auto"/>
            <w:vAlign w:val="bottom"/>
          </w:tcPr>
          <w:p w:rsidR="00423A66" w:rsidRPr="00EF01AF" w:rsidRDefault="00423A66">
            <w:pPr>
              <w:jc w:val="right"/>
              <w:rPr>
                <w:rFonts w:asciiTheme="minorHAnsi" w:hAnsiTheme="minorHAnsi" w:cstheme="minorHAnsi"/>
                <w:b/>
                <w:bCs/>
                <w:sz w:val="20"/>
                <w:szCs w:val="20"/>
              </w:rPr>
            </w:pPr>
            <w:r w:rsidRPr="00EF01AF">
              <w:rPr>
                <w:rFonts w:asciiTheme="minorHAnsi" w:hAnsiTheme="minorHAnsi" w:cstheme="minorHAnsi"/>
                <w:b/>
                <w:bCs/>
                <w:sz w:val="20"/>
                <w:szCs w:val="20"/>
              </w:rPr>
              <w:t>81,2</w:t>
            </w:r>
          </w:p>
        </w:tc>
        <w:tc>
          <w:tcPr>
            <w:tcW w:w="542" w:type="pct"/>
            <w:tcBorders>
              <w:top w:val="single" w:sz="4" w:space="0" w:color="auto"/>
            </w:tcBorders>
            <w:shd w:val="clear" w:color="auto" w:fill="auto"/>
            <w:vAlign w:val="bottom"/>
          </w:tcPr>
          <w:p w:rsidR="00423A66" w:rsidRPr="00EF01AF" w:rsidRDefault="00423A66">
            <w:pPr>
              <w:jc w:val="right"/>
              <w:rPr>
                <w:rFonts w:asciiTheme="minorHAnsi" w:hAnsiTheme="minorHAnsi" w:cstheme="minorHAnsi"/>
                <w:b/>
                <w:bCs/>
                <w:sz w:val="20"/>
                <w:szCs w:val="20"/>
              </w:rPr>
            </w:pPr>
            <w:r w:rsidRPr="00EF01AF">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423A66" w:rsidRPr="00EF01AF" w:rsidRDefault="00423A66">
            <w:pPr>
              <w:jc w:val="right"/>
              <w:rPr>
                <w:rFonts w:asciiTheme="minorHAnsi" w:hAnsiTheme="minorHAnsi" w:cstheme="minorHAnsi"/>
                <w:b/>
                <w:bCs/>
                <w:sz w:val="20"/>
                <w:szCs w:val="20"/>
              </w:rPr>
            </w:pPr>
            <w:r w:rsidRPr="00EF01AF">
              <w:rPr>
                <w:rFonts w:asciiTheme="minorHAnsi" w:hAnsiTheme="minorHAnsi" w:cstheme="minorHAnsi"/>
                <w:b/>
                <w:bCs/>
                <w:sz w:val="20"/>
                <w:szCs w:val="20"/>
              </w:rPr>
              <w:t>572588,0</w:t>
            </w:r>
          </w:p>
        </w:tc>
        <w:tc>
          <w:tcPr>
            <w:tcW w:w="561" w:type="pct"/>
            <w:tcBorders>
              <w:top w:val="single" w:sz="4" w:space="0" w:color="auto"/>
            </w:tcBorders>
            <w:shd w:val="clear" w:color="auto" w:fill="auto"/>
            <w:vAlign w:val="bottom"/>
          </w:tcPr>
          <w:p w:rsidR="00423A66" w:rsidRPr="00EF01AF" w:rsidRDefault="00423A66">
            <w:pPr>
              <w:jc w:val="right"/>
              <w:rPr>
                <w:rFonts w:asciiTheme="minorHAnsi" w:hAnsiTheme="minorHAnsi" w:cstheme="minorHAnsi"/>
                <w:b/>
                <w:bCs/>
                <w:sz w:val="20"/>
                <w:szCs w:val="20"/>
              </w:rPr>
            </w:pPr>
            <w:r w:rsidRPr="00EF01AF">
              <w:rPr>
                <w:rFonts w:asciiTheme="minorHAnsi" w:hAnsiTheme="minorHAnsi" w:cstheme="minorHAnsi"/>
                <w:b/>
                <w:bCs/>
                <w:sz w:val="20"/>
                <w:szCs w:val="20"/>
              </w:rPr>
              <w:t>128,3</w:t>
            </w:r>
          </w:p>
        </w:tc>
        <w:tc>
          <w:tcPr>
            <w:tcW w:w="616" w:type="pct"/>
            <w:shd w:val="clear" w:color="auto" w:fill="auto"/>
            <w:vAlign w:val="bottom"/>
          </w:tcPr>
          <w:p w:rsidR="00423A66" w:rsidRPr="00EF01AF" w:rsidRDefault="00423A66">
            <w:pPr>
              <w:jc w:val="right"/>
              <w:rPr>
                <w:rFonts w:asciiTheme="minorHAnsi" w:hAnsiTheme="minorHAnsi" w:cstheme="minorHAnsi"/>
                <w:b/>
                <w:bCs/>
                <w:sz w:val="20"/>
                <w:szCs w:val="20"/>
              </w:rPr>
            </w:pPr>
            <w:r w:rsidRPr="00EF01AF">
              <w:rPr>
                <w:rFonts w:asciiTheme="minorHAnsi" w:hAnsiTheme="minorHAnsi" w:cstheme="minorHAnsi"/>
                <w:b/>
                <w:bCs/>
                <w:sz w:val="20"/>
                <w:szCs w:val="20"/>
              </w:rPr>
              <w:t>100,0</w:t>
            </w:r>
          </w:p>
        </w:tc>
      </w:tr>
      <w:tr w:rsidR="006B3475" w:rsidRPr="00050CF1" w:rsidTr="00E36852">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0"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42"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r>
      <w:tr w:rsidR="00423A66" w:rsidRPr="00050CF1" w:rsidTr="00E36852">
        <w:trPr>
          <w:trHeight w:val="255"/>
        </w:trPr>
        <w:tc>
          <w:tcPr>
            <w:tcW w:w="1041" w:type="pct"/>
            <w:shd w:val="clear" w:color="auto" w:fill="auto"/>
            <w:vAlign w:val="bottom"/>
          </w:tcPr>
          <w:p w:rsidR="00423A66" w:rsidRPr="00F64A25" w:rsidRDefault="00423A66" w:rsidP="001E702B">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83" w:type="pct"/>
            <w:shd w:val="clear" w:color="auto" w:fill="auto"/>
            <w:vAlign w:val="bottom"/>
          </w:tcPr>
          <w:p w:rsidR="00423A66" w:rsidRPr="00F64A25" w:rsidRDefault="00423A66" w:rsidP="001E702B">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2189,1</w:t>
            </w:r>
          </w:p>
        </w:tc>
        <w:tc>
          <w:tcPr>
            <w:tcW w:w="560"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66,0</w:t>
            </w:r>
          </w:p>
        </w:tc>
        <w:tc>
          <w:tcPr>
            <w:tcW w:w="542"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0,7</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22561,6</w:t>
            </w:r>
          </w:p>
        </w:tc>
        <w:tc>
          <w:tcPr>
            <w:tcW w:w="56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166,0</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3,9</w:t>
            </w:r>
          </w:p>
        </w:tc>
      </w:tr>
      <w:tr w:rsidR="006B3475" w:rsidRPr="00050CF1" w:rsidTr="00E36852">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0"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42"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r>
      <w:tr w:rsidR="00423A66" w:rsidRPr="00050CF1" w:rsidTr="00E36852">
        <w:trPr>
          <w:trHeight w:val="255"/>
        </w:trPr>
        <w:tc>
          <w:tcPr>
            <w:tcW w:w="1041" w:type="pct"/>
            <w:shd w:val="clear" w:color="auto" w:fill="auto"/>
            <w:vAlign w:val="bottom"/>
          </w:tcPr>
          <w:p w:rsidR="00423A66" w:rsidRPr="00F64A25" w:rsidRDefault="00423A66" w:rsidP="001E702B">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423A66" w:rsidRPr="00F64A25" w:rsidRDefault="00423A66" w:rsidP="001E702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423A66" w:rsidRPr="00EF01AF" w:rsidRDefault="00EF01AF">
            <w:pPr>
              <w:jc w:val="right"/>
              <w:rPr>
                <w:rFonts w:asciiTheme="minorHAnsi" w:hAnsiTheme="minorHAnsi" w:cstheme="minorHAnsi"/>
                <w:sz w:val="20"/>
                <w:szCs w:val="20"/>
              </w:rPr>
            </w:pPr>
            <w:r>
              <w:rPr>
                <w:rFonts w:asciiTheme="minorHAnsi" w:hAnsiTheme="minorHAnsi" w:cstheme="minorHAnsi"/>
                <w:sz w:val="20"/>
                <w:szCs w:val="20"/>
              </w:rPr>
              <w:t>–</w:t>
            </w:r>
          </w:p>
        </w:tc>
        <w:tc>
          <w:tcPr>
            <w:tcW w:w="560" w:type="pct"/>
            <w:shd w:val="clear" w:color="auto" w:fill="auto"/>
            <w:vAlign w:val="bottom"/>
          </w:tcPr>
          <w:p w:rsidR="00423A66" w:rsidRPr="00EF01AF" w:rsidRDefault="00EF01AF">
            <w:pPr>
              <w:jc w:val="right"/>
              <w:rPr>
                <w:rFonts w:asciiTheme="minorHAnsi" w:hAnsiTheme="minorHAnsi" w:cstheme="minorHAnsi"/>
                <w:sz w:val="20"/>
                <w:szCs w:val="20"/>
              </w:rPr>
            </w:pPr>
            <w:r>
              <w:rPr>
                <w:rFonts w:asciiTheme="minorHAnsi" w:hAnsiTheme="minorHAnsi" w:cstheme="minorHAnsi"/>
                <w:sz w:val="20"/>
                <w:szCs w:val="20"/>
              </w:rPr>
              <w:t>–</w:t>
            </w:r>
          </w:p>
        </w:tc>
        <w:tc>
          <w:tcPr>
            <w:tcW w:w="542" w:type="pct"/>
            <w:shd w:val="clear" w:color="auto" w:fill="auto"/>
            <w:vAlign w:val="bottom"/>
          </w:tcPr>
          <w:p w:rsidR="00423A66" w:rsidRPr="00EF01AF" w:rsidRDefault="00EF01AF">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15516,8</w:t>
            </w:r>
          </w:p>
        </w:tc>
        <w:tc>
          <w:tcPr>
            <w:tcW w:w="56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173,6</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2,7</w:t>
            </w:r>
          </w:p>
        </w:tc>
      </w:tr>
      <w:tr w:rsidR="00423A66" w:rsidRPr="00050CF1" w:rsidTr="00E36852">
        <w:trPr>
          <w:trHeight w:val="255"/>
        </w:trPr>
        <w:tc>
          <w:tcPr>
            <w:tcW w:w="1041" w:type="pct"/>
            <w:shd w:val="clear" w:color="auto" w:fill="auto"/>
            <w:vAlign w:val="bottom"/>
          </w:tcPr>
          <w:p w:rsidR="00423A66" w:rsidRPr="00C83949" w:rsidRDefault="00423A66" w:rsidP="001E702B">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83" w:type="pct"/>
            <w:shd w:val="clear" w:color="auto" w:fill="auto"/>
            <w:vAlign w:val="bottom"/>
          </w:tcPr>
          <w:p w:rsidR="00423A66" w:rsidRPr="00F64A25" w:rsidRDefault="00423A66" w:rsidP="001E702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2031,5</w:t>
            </w:r>
          </w:p>
        </w:tc>
        <w:tc>
          <w:tcPr>
            <w:tcW w:w="560"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42"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0,6</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4480,6</w:t>
            </w:r>
          </w:p>
        </w:tc>
        <w:tc>
          <w:tcPr>
            <w:tcW w:w="56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133,6</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0,8</w:t>
            </w:r>
          </w:p>
        </w:tc>
      </w:tr>
      <w:tr w:rsidR="00423A66" w:rsidRPr="00050CF1" w:rsidTr="00E36852">
        <w:trPr>
          <w:trHeight w:val="255"/>
        </w:trPr>
        <w:tc>
          <w:tcPr>
            <w:tcW w:w="1041" w:type="pct"/>
            <w:shd w:val="clear" w:color="auto" w:fill="auto"/>
            <w:vAlign w:val="bottom"/>
          </w:tcPr>
          <w:p w:rsidR="00423A66" w:rsidRPr="00F64A25" w:rsidRDefault="00423A66" w:rsidP="00A2701A">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423A66" w:rsidRPr="00F64A25" w:rsidRDefault="00423A66" w:rsidP="00A2701A">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113818,8</w:t>
            </w:r>
          </w:p>
        </w:tc>
        <w:tc>
          <w:tcPr>
            <w:tcW w:w="560"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102,4</w:t>
            </w:r>
          </w:p>
        </w:tc>
        <w:tc>
          <w:tcPr>
            <w:tcW w:w="542"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34,9</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14894,3</w:t>
            </w:r>
          </w:p>
        </w:tc>
        <w:tc>
          <w:tcPr>
            <w:tcW w:w="56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117,0</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2,6</w:t>
            </w:r>
          </w:p>
        </w:tc>
      </w:tr>
      <w:tr w:rsidR="006B3475" w:rsidRPr="00050CF1" w:rsidTr="00E36852">
        <w:trPr>
          <w:trHeight w:val="255"/>
        </w:trPr>
        <w:tc>
          <w:tcPr>
            <w:tcW w:w="1041" w:type="pct"/>
            <w:shd w:val="clear" w:color="auto" w:fill="auto"/>
            <w:vAlign w:val="bottom"/>
          </w:tcPr>
          <w:p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0"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42"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r>
      <w:tr w:rsidR="00423A66" w:rsidRPr="00050CF1" w:rsidTr="00E36852">
        <w:trPr>
          <w:trHeight w:val="255"/>
        </w:trPr>
        <w:tc>
          <w:tcPr>
            <w:tcW w:w="1041" w:type="pct"/>
            <w:shd w:val="clear" w:color="auto" w:fill="auto"/>
            <w:vAlign w:val="bottom"/>
          </w:tcPr>
          <w:p w:rsidR="00423A66" w:rsidRPr="00F64A25" w:rsidRDefault="00423A66" w:rsidP="00727CCF">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423A66" w:rsidRPr="00F64A25" w:rsidRDefault="00423A66" w:rsidP="00727CCF">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60"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42"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4352,8</w:t>
            </w:r>
          </w:p>
        </w:tc>
        <w:tc>
          <w:tcPr>
            <w:tcW w:w="56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150,2</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0,8</w:t>
            </w:r>
          </w:p>
        </w:tc>
      </w:tr>
      <w:tr w:rsidR="00423A66" w:rsidRPr="00050CF1" w:rsidTr="00E36852">
        <w:trPr>
          <w:trHeight w:val="255"/>
        </w:trPr>
        <w:tc>
          <w:tcPr>
            <w:tcW w:w="1041" w:type="pct"/>
            <w:shd w:val="clear" w:color="auto" w:fill="auto"/>
            <w:vAlign w:val="bottom"/>
          </w:tcPr>
          <w:p w:rsidR="00423A66" w:rsidRPr="00F64A25" w:rsidRDefault="00423A66" w:rsidP="00727CCF">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423A66" w:rsidRPr="00F64A25" w:rsidRDefault="00423A66" w:rsidP="00727CCF">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94473,5</w:t>
            </w:r>
          </w:p>
        </w:tc>
        <w:tc>
          <w:tcPr>
            <w:tcW w:w="560"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128,0</w:t>
            </w:r>
          </w:p>
        </w:tc>
        <w:tc>
          <w:tcPr>
            <w:tcW w:w="542"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29,0</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1237,2</w:t>
            </w:r>
          </w:p>
        </w:tc>
        <w:tc>
          <w:tcPr>
            <w:tcW w:w="56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48,8</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0,2</w:t>
            </w:r>
          </w:p>
        </w:tc>
      </w:tr>
      <w:tr w:rsidR="00423A66" w:rsidRPr="00050CF1" w:rsidTr="00E36852">
        <w:trPr>
          <w:trHeight w:val="255"/>
        </w:trPr>
        <w:tc>
          <w:tcPr>
            <w:tcW w:w="1041" w:type="pct"/>
            <w:shd w:val="clear" w:color="auto" w:fill="auto"/>
            <w:vAlign w:val="bottom"/>
          </w:tcPr>
          <w:p w:rsidR="00423A66" w:rsidRPr="00F64A25" w:rsidRDefault="00423A66" w:rsidP="008A3D01">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423A66" w:rsidRPr="00F64A25" w:rsidRDefault="00423A66" w:rsidP="008A3D0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41059,7</w:t>
            </w:r>
          </w:p>
        </w:tc>
        <w:tc>
          <w:tcPr>
            <w:tcW w:w="560"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99,6</w:t>
            </w:r>
          </w:p>
        </w:tc>
        <w:tc>
          <w:tcPr>
            <w:tcW w:w="542"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12,6</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2534,0</w:t>
            </w:r>
          </w:p>
        </w:tc>
        <w:tc>
          <w:tcPr>
            <w:tcW w:w="56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225,9</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0,4</w:t>
            </w:r>
          </w:p>
        </w:tc>
      </w:tr>
      <w:tr w:rsidR="00423A66" w:rsidRPr="00050CF1" w:rsidTr="00E36852">
        <w:trPr>
          <w:trHeight w:val="255"/>
        </w:trPr>
        <w:tc>
          <w:tcPr>
            <w:tcW w:w="1041" w:type="pct"/>
            <w:shd w:val="clear" w:color="auto" w:fill="auto"/>
            <w:vAlign w:val="bottom"/>
          </w:tcPr>
          <w:p w:rsidR="00423A66" w:rsidRPr="00F64A25" w:rsidRDefault="00423A66" w:rsidP="008A3D01">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423A66" w:rsidRPr="00F64A25" w:rsidRDefault="00423A66" w:rsidP="008A3D0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32431,2</w:t>
            </w:r>
          </w:p>
        </w:tc>
        <w:tc>
          <w:tcPr>
            <w:tcW w:w="560"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53,5</w:t>
            </w:r>
          </w:p>
        </w:tc>
        <w:tc>
          <w:tcPr>
            <w:tcW w:w="542"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9,9</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18000,1</w:t>
            </w:r>
          </w:p>
        </w:tc>
        <w:tc>
          <w:tcPr>
            <w:tcW w:w="561"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60,6</w:t>
            </w:r>
          </w:p>
        </w:tc>
        <w:tc>
          <w:tcPr>
            <w:tcW w:w="616" w:type="pct"/>
            <w:shd w:val="clear" w:color="auto" w:fill="auto"/>
            <w:vAlign w:val="bottom"/>
          </w:tcPr>
          <w:p w:rsidR="00423A66" w:rsidRPr="00EF01AF" w:rsidRDefault="00423A66">
            <w:pPr>
              <w:jc w:val="right"/>
              <w:rPr>
                <w:rFonts w:asciiTheme="minorHAnsi" w:hAnsiTheme="minorHAnsi" w:cstheme="minorHAnsi"/>
                <w:iCs/>
                <w:sz w:val="20"/>
                <w:szCs w:val="20"/>
              </w:rPr>
            </w:pPr>
            <w:r w:rsidRPr="00EF01AF">
              <w:rPr>
                <w:rFonts w:asciiTheme="minorHAnsi" w:hAnsiTheme="minorHAnsi" w:cstheme="minorHAnsi"/>
                <w:iCs/>
                <w:sz w:val="20"/>
                <w:szCs w:val="20"/>
              </w:rPr>
              <w:t>3,1</w:t>
            </w:r>
          </w:p>
        </w:tc>
      </w:tr>
      <w:tr w:rsidR="006B3475" w:rsidRPr="00050CF1" w:rsidTr="00E36852">
        <w:trPr>
          <w:trHeight w:val="255"/>
        </w:trPr>
        <w:tc>
          <w:tcPr>
            <w:tcW w:w="1041" w:type="pct"/>
            <w:shd w:val="clear" w:color="auto" w:fill="auto"/>
            <w:vAlign w:val="bottom"/>
          </w:tcPr>
          <w:p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BB3E80" w:rsidRDefault="006B3475" w:rsidP="006B3475">
            <w:pPr>
              <w:spacing w:line="250" w:lineRule="exact"/>
              <w:jc w:val="center"/>
              <w:rPr>
                <w:rFonts w:ascii="Calibri" w:hAnsi="Calibri" w:cs="Calibri"/>
                <w:sz w:val="20"/>
                <w:szCs w:val="20"/>
                <w:lang w:eastAsia="uk-UA"/>
              </w:rPr>
            </w:pPr>
          </w:p>
        </w:tc>
        <w:tc>
          <w:tcPr>
            <w:tcW w:w="58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0"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42"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561"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c>
          <w:tcPr>
            <w:tcW w:w="616" w:type="pct"/>
            <w:shd w:val="clear" w:color="auto" w:fill="auto"/>
            <w:vAlign w:val="bottom"/>
          </w:tcPr>
          <w:p w:rsidR="006B3475" w:rsidRPr="00EF01AF" w:rsidRDefault="006B3475" w:rsidP="00C77F84">
            <w:pPr>
              <w:jc w:val="right"/>
              <w:rPr>
                <w:rFonts w:asciiTheme="minorHAnsi" w:hAnsiTheme="minorHAnsi" w:cstheme="minorHAnsi"/>
                <w:sz w:val="20"/>
                <w:szCs w:val="20"/>
                <w:highlight w:val="yellow"/>
              </w:rPr>
            </w:pPr>
          </w:p>
        </w:tc>
      </w:tr>
      <w:tr w:rsidR="00423A66" w:rsidRPr="00050CF1" w:rsidTr="00E36852">
        <w:trPr>
          <w:trHeight w:val="255"/>
        </w:trPr>
        <w:tc>
          <w:tcPr>
            <w:tcW w:w="1041" w:type="pct"/>
            <w:shd w:val="clear" w:color="auto" w:fill="auto"/>
            <w:vAlign w:val="bottom"/>
          </w:tcPr>
          <w:p w:rsidR="00423A66" w:rsidRPr="000E43A8" w:rsidRDefault="00423A66" w:rsidP="00D76BA2">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83" w:type="pct"/>
            <w:shd w:val="clear" w:color="auto" w:fill="auto"/>
            <w:vAlign w:val="bottom"/>
          </w:tcPr>
          <w:p w:rsidR="00423A66" w:rsidRPr="000E43A8" w:rsidRDefault="00423A66" w:rsidP="00D76BA2">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8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12977,0</w:t>
            </w:r>
          </w:p>
        </w:tc>
        <w:tc>
          <w:tcPr>
            <w:tcW w:w="560"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94,2</w:t>
            </w:r>
          </w:p>
        </w:tc>
        <w:tc>
          <w:tcPr>
            <w:tcW w:w="542"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4,0</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1399,7</w:t>
            </w:r>
          </w:p>
        </w:tc>
        <w:tc>
          <w:tcPr>
            <w:tcW w:w="56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40,7</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0,2</w:t>
            </w:r>
          </w:p>
        </w:tc>
      </w:tr>
      <w:tr w:rsidR="00423A66" w:rsidRPr="00050CF1" w:rsidTr="00E36852">
        <w:trPr>
          <w:trHeight w:val="255"/>
        </w:trPr>
        <w:tc>
          <w:tcPr>
            <w:tcW w:w="1041" w:type="pct"/>
            <w:shd w:val="clear" w:color="auto" w:fill="auto"/>
            <w:vAlign w:val="bottom"/>
          </w:tcPr>
          <w:p w:rsidR="00423A66" w:rsidRPr="00DD5170" w:rsidRDefault="00423A66" w:rsidP="00D76BA2">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83" w:type="pct"/>
            <w:shd w:val="clear" w:color="auto" w:fill="auto"/>
            <w:vAlign w:val="bottom"/>
          </w:tcPr>
          <w:p w:rsidR="00423A66" w:rsidRPr="00DD5170" w:rsidRDefault="00423A66" w:rsidP="00D76BA2">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8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6567,6</w:t>
            </w:r>
          </w:p>
        </w:tc>
        <w:tc>
          <w:tcPr>
            <w:tcW w:w="560"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303,7</w:t>
            </w:r>
          </w:p>
        </w:tc>
        <w:tc>
          <w:tcPr>
            <w:tcW w:w="542"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2,0</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5654,3</w:t>
            </w:r>
          </w:p>
        </w:tc>
        <w:tc>
          <w:tcPr>
            <w:tcW w:w="561"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164,2</w:t>
            </w:r>
          </w:p>
        </w:tc>
        <w:tc>
          <w:tcPr>
            <w:tcW w:w="616" w:type="pct"/>
            <w:shd w:val="clear" w:color="auto" w:fill="auto"/>
            <w:vAlign w:val="bottom"/>
          </w:tcPr>
          <w:p w:rsidR="00423A66" w:rsidRPr="00EF01AF" w:rsidRDefault="00423A66">
            <w:pPr>
              <w:jc w:val="right"/>
              <w:rPr>
                <w:rFonts w:asciiTheme="minorHAnsi" w:hAnsiTheme="minorHAnsi" w:cstheme="minorHAnsi"/>
                <w:sz w:val="20"/>
                <w:szCs w:val="20"/>
              </w:rPr>
            </w:pPr>
            <w:r w:rsidRPr="00EF01AF">
              <w:rPr>
                <w:rFonts w:asciiTheme="minorHAnsi" w:hAnsiTheme="minorHAnsi" w:cstheme="minorHAnsi"/>
                <w:sz w:val="20"/>
                <w:szCs w:val="20"/>
              </w:rPr>
              <w:t>1,0</w:t>
            </w:r>
          </w:p>
        </w:tc>
      </w:tr>
      <w:tr w:rsidR="00745867" w:rsidRPr="00050CF1" w:rsidTr="00E36852">
        <w:trPr>
          <w:trHeight w:val="255"/>
        </w:trPr>
        <w:tc>
          <w:tcPr>
            <w:tcW w:w="1041" w:type="pct"/>
            <w:shd w:val="clear" w:color="auto" w:fill="auto"/>
            <w:vAlign w:val="bottom"/>
          </w:tcPr>
          <w:p w:rsidR="00745867" w:rsidRPr="00F64A25" w:rsidRDefault="00745867" w:rsidP="00CD20ED">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745867" w:rsidRPr="00F64A25" w:rsidRDefault="00745867" w:rsidP="00CD20ED">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6189,7</w:t>
            </w:r>
          </w:p>
        </w:tc>
        <w:tc>
          <w:tcPr>
            <w:tcW w:w="56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338,9</w:t>
            </w:r>
          </w:p>
        </w:tc>
        <w:tc>
          <w:tcPr>
            <w:tcW w:w="542"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1,9</w:t>
            </w:r>
          </w:p>
        </w:tc>
        <w:tc>
          <w:tcPr>
            <w:tcW w:w="616"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57533,5</w:t>
            </w:r>
          </w:p>
        </w:tc>
        <w:tc>
          <w:tcPr>
            <w:tcW w:w="561"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338,4</w:t>
            </w:r>
          </w:p>
        </w:tc>
        <w:tc>
          <w:tcPr>
            <w:tcW w:w="616"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10,0</w:t>
            </w:r>
          </w:p>
        </w:tc>
      </w:tr>
      <w:tr w:rsidR="000F60FB" w:rsidRPr="00050CF1" w:rsidTr="00E36852">
        <w:trPr>
          <w:trHeight w:val="255"/>
        </w:trPr>
        <w:tc>
          <w:tcPr>
            <w:tcW w:w="1041" w:type="pct"/>
            <w:shd w:val="clear" w:color="auto" w:fill="auto"/>
            <w:vAlign w:val="bottom"/>
          </w:tcPr>
          <w:p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560"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542"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616"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561"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616"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r>
      <w:tr w:rsidR="00745867" w:rsidRPr="00050CF1" w:rsidTr="00E36852">
        <w:trPr>
          <w:trHeight w:val="255"/>
        </w:trPr>
        <w:tc>
          <w:tcPr>
            <w:tcW w:w="1041" w:type="pct"/>
            <w:shd w:val="clear" w:color="auto" w:fill="auto"/>
            <w:vAlign w:val="bottom"/>
          </w:tcPr>
          <w:p w:rsidR="00745867" w:rsidRPr="00F64A25" w:rsidRDefault="00745867" w:rsidP="007A01E0">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745867" w:rsidRPr="00F64A25" w:rsidRDefault="00745867" w:rsidP="007A01E0">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6157,0</w:t>
            </w:r>
          </w:p>
        </w:tc>
        <w:tc>
          <w:tcPr>
            <w:tcW w:w="56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658,4</w:t>
            </w:r>
          </w:p>
        </w:tc>
        <w:tc>
          <w:tcPr>
            <w:tcW w:w="542"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1,9</w:t>
            </w:r>
          </w:p>
        </w:tc>
        <w:tc>
          <w:tcPr>
            <w:tcW w:w="616"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56150,1</w:t>
            </w:r>
          </w:p>
        </w:tc>
        <w:tc>
          <w:tcPr>
            <w:tcW w:w="561"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350,0</w:t>
            </w:r>
          </w:p>
        </w:tc>
        <w:tc>
          <w:tcPr>
            <w:tcW w:w="616"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9,8</w:t>
            </w:r>
          </w:p>
        </w:tc>
      </w:tr>
      <w:tr w:rsidR="00745867" w:rsidRPr="00050CF1" w:rsidTr="00E36852">
        <w:trPr>
          <w:trHeight w:val="255"/>
        </w:trPr>
        <w:tc>
          <w:tcPr>
            <w:tcW w:w="1041" w:type="pct"/>
            <w:shd w:val="clear" w:color="auto" w:fill="auto"/>
            <w:vAlign w:val="bottom"/>
          </w:tcPr>
          <w:p w:rsidR="00745867" w:rsidRPr="00F64A25" w:rsidRDefault="00745867" w:rsidP="007A01E0">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745867" w:rsidRPr="00F64A25" w:rsidRDefault="00745867" w:rsidP="007A01E0">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11582,6</w:t>
            </w:r>
          </w:p>
        </w:tc>
        <w:tc>
          <w:tcPr>
            <w:tcW w:w="56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58,7</w:t>
            </w:r>
          </w:p>
        </w:tc>
        <w:tc>
          <w:tcPr>
            <w:tcW w:w="542"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3,6</w:t>
            </w:r>
          </w:p>
        </w:tc>
        <w:tc>
          <w:tcPr>
            <w:tcW w:w="616"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74121,7</w:t>
            </w:r>
          </w:p>
        </w:tc>
        <w:tc>
          <w:tcPr>
            <w:tcW w:w="561"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112,7</w:t>
            </w:r>
          </w:p>
        </w:tc>
        <w:tc>
          <w:tcPr>
            <w:tcW w:w="616"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12,9</w:t>
            </w:r>
          </w:p>
        </w:tc>
      </w:tr>
      <w:tr w:rsidR="000F60FB" w:rsidRPr="00050CF1" w:rsidTr="00E36852">
        <w:trPr>
          <w:trHeight w:val="255"/>
        </w:trPr>
        <w:tc>
          <w:tcPr>
            <w:tcW w:w="1041" w:type="pct"/>
            <w:shd w:val="clear" w:color="auto" w:fill="auto"/>
            <w:vAlign w:val="bottom"/>
          </w:tcPr>
          <w:p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560"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542"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616"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561"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c>
          <w:tcPr>
            <w:tcW w:w="616" w:type="pct"/>
            <w:shd w:val="clear" w:color="auto" w:fill="auto"/>
            <w:vAlign w:val="bottom"/>
          </w:tcPr>
          <w:p w:rsidR="000F60FB" w:rsidRPr="00EF01AF" w:rsidRDefault="000F60FB" w:rsidP="000F60FB">
            <w:pPr>
              <w:jc w:val="right"/>
              <w:rPr>
                <w:rFonts w:asciiTheme="minorHAnsi" w:hAnsiTheme="minorHAnsi" w:cstheme="minorHAnsi"/>
                <w:sz w:val="20"/>
                <w:szCs w:val="20"/>
                <w:highlight w:val="yellow"/>
              </w:rPr>
            </w:pPr>
          </w:p>
        </w:tc>
      </w:tr>
      <w:tr w:rsidR="00745867" w:rsidRPr="00050CF1" w:rsidTr="00E36852">
        <w:trPr>
          <w:trHeight w:val="255"/>
        </w:trPr>
        <w:tc>
          <w:tcPr>
            <w:tcW w:w="1041" w:type="pct"/>
            <w:shd w:val="clear" w:color="auto" w:fill="auto"/>
            <w:vAlign w:val="bottom"/>
          </w:tcPr>
          <w:p w:rsidR="00745867" w:rsidRPr="00F64A25" w:rsidRDefault="00745867" w:rsidP="0027687D">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83" w:type="pct"/>
            <w:shd w:val="clear" w:color="auto" w:fill="auto"/>
            <w:vAlign w:val="bottom"/>
          </w:tcPr>
          <w:p w:rsidR="00745867" w:rsidRPr="00F64A25" w:rsidRDefault="00745867" w:rsidP="0027687D">
            <w:pPr>
              <w:spacing w:line="250" w:lineRule="exact"/>
              <w:jc w:val="center"/>
              <w:rPr>
                <w:rFonts w:ascii="Calibri" w:hAnsi="Calibri" w:cs="Calibri"/>
                <w:bCs/>
                <w:sz w:val="20"/>
                <w:szCs w:val="20"/>
              </w:rPr>
            </w:pPr>
            <w:r>
              <w:rPr>
                <w:rFonts w:ascii="Calibri" w:hAnsi="Calibri" w:cs="Calibri"/>
                <w:bCs/>
                <w:sz w:val="20"/>
                <w:szCs w:val="20"/>
              </w:rPr>
              <w:t>30</w:t>
            </w:r>
          </w:p>
        </w:tc>
        <w:tc>
          <w:tcPr>
            <w:tcW w:w="581"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4322,6</w:t>
            </w:r>
          </w:p>
        </w:tc>
        <w:tc>
          <w:tcPr>
            <w:tcW w:w="56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112,9</w:t>
            </w:r>
          </w:p>
        </w:tc>
        <w:tc>
          <w:tcPr>
            <w:tcW w:w="542"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1,3</w:t>
            </w:r>
          </w:p>
        </w:tc>
        <w:tc>
          <w:tcPr>
            <w:tcW w:w="616"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13830,6</w:t>
            </w:r>
          </w:p>
        </w:tc>
        <w:tc>
          <w:tcPr>
            <w:tcW w:w="561"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122,1</w:t>
            </w:r>
          </w:p>
        </w:tc>
        <w:tc>
          <w:tcPr>
            <w:tcW w:w="616"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2,4</w:t>
            </w:r>
          </w:p>
        </w:tc>
      </w:tr>
      <w:tr w:rsidR="00745867" w:rsidRPr="00983258" w:rsidTr="00E36852">
        <w:trPr>
          <w:trHeight w:val="255"/>
        </w:trPr>
        <w:tc>
          <w:tcPr>
            <w:tcW w:w="1041" w:type="pct"/>
            <w:shd w:val="clear" w:color="auto" w:fill="auto"/>
            <w:vAlign w:val="bottom"/>
          </w:tcPr>
          <w:p w:rsidR="00745867" w:rsidRPr="00F64A25" w:rsidRDefault="00745867" w:rsidP="0027687D">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745867" w:rsidRPr="00F64A25" w:rsidRDefault="00745867" w:rsidP="0027687D">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745867" w:rsidRPr="00F64A25" w:rsidRDefault="00745867" w:rsidP="0027687D">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3256,4</w:t>
            </w:r>
          </w:p>
        </w:tc>
        <w:tc>
          <w:tcPr>
            <w:tcW w:w="56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182,0</w:t>
            </w:r>
          </w:p>
        </w:tc>
        <w:tc>
          <w:tcPr>
            <w:tcW w:w="542"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1,0</w:t>
            </w:r>
          </w:p>
        </w:tc>
        <w:tc>
          <w:tcPr>
            <w:tcW w:w="616"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21270,0</w:t>
            </w:r>
          </w:p>
        </w:tc>
        <w:tc>
          <w:tcPr>
            <w:tcW w:w="561"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87,0</w:t>
            </w:r>
          </w:p>
        </w:tc>
        <w:tc>
          <w:tcPr>
            <w:tcW w:w="616"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3,7</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37"/>
        <w:gridCol w:w="6"/>
        <w:gridCol w:w="1123"/>
        <w:gridCol w:w="1129"/>
        <w:gridCol w:w="1133"/>
        <w:gridCol w:w="1131"/>
        <w:gridCol w:w="1072"/>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C5F36">
              <w:rPr>
                <w:rFonts w:ascii="Calibri" w:hAnsi="Calibri" w:cs="Calibri"/>
                <w:bCs/>
                <w:spacing w:val="-6"/>
                <w:sz w:val="20"/>
                <w:szCs w:val="20"/>
              </w:rPr>
              <w:t>травня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C5F36">
              <w:rPr>
                <w:rFonts w:ascii="Calibri" w:hAnsi="Calibri" w:cs="Calibri"/>
                <w:bCs/>
                <w:spacing w:val="-6"/>
                <w:sz w:val="20"/>
                <w:szCs w:val="20"/>
              </w:rPr>
              <w:t>травня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745867" w:rsidRPr="00050CF1" w:rsidTr="004B3A7E">
        <w:trPr>
          <w:trHeight w:val="255"/>
        </w:trPr>
        <w:tc>
          <w:tcPr>
            <w:tcW w:w="1082" w:type="pct"/>
            <w:tcBorders>
              <w:top w:val="single" w:sz="4" w:space="0" w:color="auto"/>
            </w:tcBorders>
            <w:shd w:val="clear" w:color="auto" w:fill="auto"/>
            <w:vAlign w:val="bottom"/>
          </w:tcPr>
          <w:p w:rsidR="00745867" w:rsidRPr="00F64A25" w:rsidRDefault="00745867" w:rsidP="00A66837">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745867" w:rsidRPr="00F64A25" w:rsidRDefault="00745867" w:rsidP="00A66837">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8926,4</w:t>
            </w:r>
          </w:p>
        </w:tc>
        <w:tc>
          <w:tcPr>
            <w:tcW w:w="570" w:type="pct"/>
            <w:tcBorders>
              <w:top w:val="single" w:sz="4" w:space="0" w:color="auto"/>
            </w:tcBorders>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68,5</w:t>
            </w:r>
          </w:p>
        </w:tc>
        <w:tc>
          <w:tcPr>
            <w:tcW w:w="573" w:type="pct"/>
            <w:tcBorders>
              <w:top w:val="single" w:sz="4" w:space="0" w:color="auto"/>
            </w:tcBorders>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2,7</w:t>
            </w:r>
          </w:p>
        </w:tc>
        <w:tc>
          <w:tcPr>
            <w:tcW w:w="575" w:type="pct"/>
            <w:tcBorders>
              <w:top w:val="single" w:sz="4" w:space="0" w:color="auto"/>
            </w:tcBorders>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91424,1</w:t>
            </w:r>
          </w:p>
        </w:tc>
        <w:tc>
          <w:tcPr>
            <w:tcW w:w="574" w:type="pct"/>
            <w:tcBorders>
              <w:top w:val="single" w:sz="4" w:space="0" w:color="auto"/>
            </w:tcBorders>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134,1</w:t>
            </w:r>
          </w:p>
        </w:tc>
        <w:tc>
          <w:tcPr>
            <w:tcW w:w="544" w:type="pct"/>
            <w:tcBorders>
              <w:top w:val="single" w:sz="4" w:space="0" w:color="auto"/>
            </w:tcBorders>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16,0</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EF01AF" w:rsidRDefault="001A1D7A" w:rsidP="004B3A7E">
            <w:pPr>
              <w:jc w:val="right"/>
              <w:rPr>
                <w:rFonts w:asciiTheme="minorHAnsi" w:hAnsiTheme="minorHAnsi" w:cstheme="minorHAnsi"/>
                <w:sz w:val="20"/>
                <w:szCs w:val="20"/>
                <w:highlight w:val="yellow"/>
              </w:rPr>
            </w:pPr>
          </w:p>
        </w:tc>
        <w:tc>
          <w:tcPr>
            <w:tcW w:w="570" w:type="pct"/>
            <w:shd w:val="clear" w:color="auto" w:fill="auto"/>
            <w:vAlign w:val="bottom"/>
          </w:tcPr>
          <w:p w:rsidR="001A1D7A" w:rsidRPr="00EF01AF" w:rsidRDefault="001A1D7A" w:rsidP="004B3A7E">
            <w:pPr>
              <w:jc w:val="right"/>
              <w:rPr>
                <w:rFonts w:asciiTheme="minorHAnsi" w:hAnsiTheme="minorHAnsi" w:cstheme="minorHAnsi"/>
                <w:sz w:val="20"/>
                <w:szCs w:val="20"/>
                <w:highlight w:val="yellow"/>
              </w:rPr>
            </w:pPr>
          </w:p>
        </w:tc>
        <w:tc>
          <w:tcPr>
            <w:tcW w:w="573" w:type="pct"/>
            <w:shd w:val="clear" w:color="auto" w:fill="auto"/>
            <w:vAlign w:val="bottom"/>
          </w:tcPr>
          <w:p w:rsidR="001A1D7A" w:rsidRPr="00EF01AF" w:rsidRDefault="001A1D7A" w:rsidP="004B3A7E">
            <w:pPr>
              <w:jc w:val="right"/>
              <w:rPr>
                <w:rFonts w:asciiTheme="minorHAnsi" w:hAnsiTheme="minorHAnsi" w:cstheme="minorHAnsi"/>
                <w:sz w:val="20"/>
                <w:szCs w:val="20"/>
                <w:highlight w:val="yellow"/>
              </w:rPr>
            </w:pPr>
          </w:p>
        </w:tc>
        <w:tc>
          <w:tcPr>
            <w:tcW w:w="575" w:type="pct"/>
            <w:shd w:val="clear" w:color="auto" w:fill="auto"/>
            <w:vAlign w:val="bottom"/>
          </w:tcPr>
          <w:p w:rsidR="001A1D7A" w:rsidRPr="00EF01AF" w:rsidRDefault="001A1D7A" w:rsidP="004B3A7E">
            <w:pPr>
              <w:jc w:val="right"/>
              <w:rPr>
                <w:rFonts w:asciiTheme="minorHAnsi" w:hAnsiTheme="minorHAnsi" w:cstheme="minorHAnsi"/>
                <w:sz w:val="20"/>
                <w:szCs w:val="20"/>
                <w:highlight w:val="yellow"/>
              </w:rPr>
            </w:pPr>
          </w:p>
        </w:tc>
        <w:tc>
          <w:tcPr>
            <w:tcW w:w="574" w:type="pct"/>
            <w:shd w:val="clear" w:color="auto" w:fill="auto"/>
            <w:vAlign w:val="bottom"/>
          </w:tcPr>
          <w:p w:rsidR="001A1D7A" w:rsidRPr="00EF01AF" w:rsidRDefault="001A1D7A" w:rsidP="004B3A7E">
            <w:pPr>
              <w:jc w:val="right"/>
              <w:rPr>
                <w:rFonts w:asciiTheme="minorHAnsi" w:hAnsiTheme="minorHAnsi" w:cstheme="minorHAnsi"/>
                <w:sz w:val="20"/>
                <w:szCs w:val="20"/>
                <w:highlight w:val="yellow"/>
              </w:rPr>
            </w:pPr>
          </w:p>
        </w:tc>
        <w:tc>
          <w:tcPr>
            <w:tcW w:w="544" w:type="pct"/>
            <w:shd w:val="clear" w:color="auto" w:fill="auto"/>
            <w:vAlign w:val="bottom"/>
          </w:tcPr>
          <w:p w:rsidR="001A1D7A" w:rsidRPr="00EF01AF" w:rsidRDefault="001A1D7A" w:rsidP="004B3A7E">
            <w:pPr>
              <w:jc w:val="right"/>
              <w:rPr>
                <w:rFonts w:asciiTheme="minorHAnsi" w:hAnsiTheme="minorHAnsi" w:cstheme="minorHAnsi"/>
                <w:sz w:val="20"/>
                <w:szCs w:val="20"/>
                <w:highlight w:val="yellow"/>
              </w:rPr>
            </w:pPr>
          </w:p>
        </w:tc>
      </w:tr>
      <w:tr w:rsidR="00745867" w:rsidRPr="00050CF1" w:rsidTr="004B3A7E">
        <w:trPr>
          <w:trHeight w:val="494"/>
        </w:trPr>
        <w:tc>
          <w:tcPr>
            <w:tcW w:w="1082" w:type="pct"/>
            <w:shd w:val="clear" w:color="auto" w:fill="auto"/>
            <w:vAlign w:val="bottom"/>
          </w:tcPr>
          <w:p w:rsidR="00745867" w:rsidRPr="00F64A25" w:rsidRDefault="00745867" w:rsidP="00A66837">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745867" w:rsidRPr="00F64A25" w:rsidRDefault="00745867" w:rsidP="00A6683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7492,5</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64,5</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2,3</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54421,5</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122,0</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9,5</w:t>
            </w:r>
          </w:p>
        </w:tc>
      </w:tr>
      <w:tr w:rsidR="00745867" w:rsidRPr="00050CF1" w:rsidTr="004B3A7E">
        <w:trPr>
          <w:trHeight w:val="255"/>
        </w:trPr>
        <w:tc>
          <w:tcPr>
            <w:tcW w:w="1082" w:type="pct"/>
            <w:shd w:val="clear" w:color="auto" w:fill="auto"/>
            <w:vAlign w:val="bottom"/>
          </w:tcPr>
          <w:p w:rsidR="00745867" w:rsidRPr="00F64A25" w:rsidRDefault="00745867" w:rsidP="00D7115B">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745867" w:rsidRPr="00F64A25" w:rsidRDefault="00745867" w:rsidP="00D7115B">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814,8</w:t>
            </w:r>
          </w:p>
        </w:tc>
        <w:tc>
          <w:tcPr>
            <w:tcW w:w="57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99,3</w:t>
            </w:r>
          </w:p>
        </w:tc>
        <w:tc>
          <w:tcPr>
            <w:tcW w:w="573"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0,2</w:t>
            </w:r>
          </w:p>
        </w:tc>
        <w:tc>
          <w:tcPr>
            <w:tcW w:w="575"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2169,5</w:t>
            </w:r>
          </w:p>
        </w:tc>
        <w:tc>
          <w:tcPr>
            <w:tcW w:w="57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173,1</w:t>
            </w:r>
          </w:p>
        </w:tc>
        <w:tc>
          <w:tcPr>
            <w:tcW w:w="54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0"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3"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5"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4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745867" w:rsidRPr="00050CF1" w:rsidTr="004B3A7E">
        <w:trPr>
          <w:trHeight w:val="255"/>
        </w:trPr>
        <w:tc>
          <w:tcPr>
            <w:tcW w:w="1082" w:type="pct"/>
            <w:shd w:val="clear" w:color="auto" w:fill="auto"/>
            <w:vAlign w:val="bottom"/>
          </w:tcPr>
          <w:p w:rsidR="00745867" w:rsidRPr="00F64A25" w:rsidRDefault="00745867" w:rsidP="00C63365">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745867" w:rsidRPr="00F64A25" w:rsidRDefault="00745867" w:rsidP="00C63365">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82,1</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80,4</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0,0</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2102,5</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191,5</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0,4</w:t>
            </w:r>
          </w:p>
        </w:tc>
      </w:tr>
      <w:tr w:rsidR="00745867" w:rsidRPr="00050CF1" w:rsidTr="004B3A7E">
        <w:trPr>
          <w:trHeight w:val="255"/>
        </w:trPr>
        <w:tc>
          <w:tcPr>
            <w:tcW w:w="1082" w:type="pct"/>
            <w:shd w:val="clear" w:color="auto" w:fill="auto"/>
            <w:vAlign w:val="bottom"/>
          </w:tcPr>
          <w:p w:rsidR="00745867" w:rsidRPr="00F64A25" w:rsidRDefault="00745867" w:rsidP="00C63365">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745867" w:rsidRPr="00F64A25" w:rsidRDefault="00745867" w:rsidP="00C63365">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745867" w:rsidRPr="00F64A25" w:rsidRDefault="00745867" w:rsidP="00C63365">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r>
      <w:tr w:rsidR="00745867" w:rsidRPr="00050CF1" w:rsidTr="004B3A7E">
        <w:trPr>
          <w:trHeight w:val="255"/>
        </w:trPr>
        <w:tc>
          <w:tcPr>
            <w:tcW w:w="1082" w:type="pct"/>
            <w:shd w:val="clear" w:color="auto" w:fill="auto"/>
            <w:vAlign w:val="bottom"/>
          </w:tcPr>
          <w:p w:rsidR="00745867" w:rsidRPr="00F64A25" w:rsidRDefault="00745867" w:rsidP="00C63365">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745867" w:rsidRPr="00F64A25" w:rsidRDefault="00745867" w:rsidP="00C63365">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6069,3</w:t>
            </w:r>
          </w:p>
        </w:tc>
        <w:tc>
          <w:tcPr>
            <w:tcW w:w="57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132,2</w:t>
            </w:r>
          </w:p>
        </w:tc>
        <w:tc>
          <w:tcPr>
            <w:tcW w:w="573"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1,9</w:t>
            </w:r>
          </w:p>
        </w:tc>
        <w:tc>
          <w:tcPr>
            <w:tcW w:w="575"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2274,0</w:t>
            </w:r>
          </w:p>
        </w:tc>
        <w:tc>
          <w:tcPr>
            <w:tcW w:w="57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74,2</w:t>
            </w:r>
          </w:p>
        </w:tc>
        <w:tc>
          <w:tcPr>
            <w:tcW w:w="54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0"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3"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5"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4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745867" w:rsidRPr="00050CF1" w:rsidTr="004B3A7E">
        <w:trPr>
          <w:trHeight w:val="255"/>
        </w:trPr>
        <w:tc>
          <w:tcPr>
            <w:tcW w:w="1082" w:type="pct"/>
            <w:shd w:val="clear" w:color="auto" w:fill="auto"/>
            <w:vAlign w:val="bottom"/>
          </w:tcPr>
          <w:p w:rsidR="00745867" w:rsidRPr="00F64A25" w:rsidRDefault="00745867" w:rsidP="000E3BAC">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745867" w:rsidRPr="00F64A25" w:rsidRDefault="00745867" w:rsidP="000E3BAC">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2264,1</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74,1</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0,4</w:t>
            </w:r>
          </w:p>
        </w:tc>
      </w:tr>
      <w:tr w:rsidR="00745867" w:rsidRPr="00050CF1" w:rsidTr="004B3A7E">
        <w:trPr>
          <w:trHeight w:val="255"/>
        </w:trPr>
        <w:tc>
          <w:tcPr>
            <w:tcW w:w="1082" w:type="pct"/>
            <w:shd w:val="clear" w:color="auto" w:fill="auto"/>
            <w:vAlign w:val="bottom"/>
          </w:tcPr>
          <w:p w:rsidR="00745867" w:rsidRPr="00F64A25" w:rsidRDefault="00745867" w:rsidP="000E3BAC">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745867" w:rsidRPr="00F64A25" w:rsidRDefault="00745867" w:rsidP="000E3BAC">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1678,6</w:t>
            </w:r>
          </w:p>
        </w:tc>
        <w:tc>
          <w:tcPr>
            <w:tcW w:w="57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17,7</w:t>
            </w:r>
          </w:p>
        </w:tc>
        <w:tc>
          <w:tcPr>
            <w:tcW w:w="573"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0,5</w:t>
            </w:r>
          </w:p>
        </w:tc>
        <w:tc>
          <w:tcPr>
            <w:tcW w:w="575"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11411,9</w:t>
            </w:r>
          </w:p>
        </w:tc>
        <w:tc>
          <w:tcPr>
            <w:tcW w:w="57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64,0</w:t>
            </w:r>
          </w:p>
        </w:tc>
        <w:tc>
          <w:tcPr>
            <w:tcW w:w="54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2,0</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0"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3"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5"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4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745867" w:rsidRPr="00050CF1" w:rsidTr="004B3A7E">
        <w:trPr>
          <w:trHeight w:val="255"/>
        </w:trPr>
        <w:tc>
          <w:tcPr>
            <w:tcW w:w="1082" w:type="pct"/>
            <w:shd w:val="clear" w:color="auto" w:fill="auto"/>
            <w:vAlign w:val="bottom"/>
          </w:tcPr>
          <w:p w:rsidR="00745867" w:rsidRPr="00F64A25" w:rsidRDefault="00745867" w:rsidP="00F64320">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745867" w:rsidRPr="00F64A25" w:rsidRDefault="00745867" w:rsidP="00F6432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725,8</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9,2</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0,2</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11307,2</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64,3</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2,0</w:t>
            </w:r>
          </w:p>
        </w:tc>
      </w:tr>
      <w:tr w:rsidR="00745867" w:rsidRPr="00050CF1" w:rsidTr="004B3A7E">
        <w:trPr>
          <w:trHeight w:val="255"/>
        </w:trPr>
        <w:tc>
          <w:tcPr>
            <w:tcW w:w="1082" w:type="pct"/>
            <w:shd w:val="clear" w:color="auto" w:fill="auto"/>
            <w:vAlign w:val="bottom"/>
          </w:tcPr>
          <w:p w:rsidR="00745867" w:rsidRPr="00F64A25" w:rsidRDefault="00745867" w:rsidP="00F64320">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rsidR="00745867" w:rsidRPr="00F64A25" w:rsidRDefault="00745867" w:rsidP="00F64320">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952,8</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58,2</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0,3</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r>
      <w:tr w:rsidR="00745867" w:rsidRPr="00050CF1" w:rsidTr="004B3A7E">
        <w:trPr>
          <w:trHeight w:val="255"/>
        </w:trPr>
        <w:tc>
          <w:tcPr>
            <w:tcW w:w="1082" w:type="pct"/>
            <w:shd w:val="clear" w:color="auto" w:fill="auto"/>
            <w:vAlign w:val="bottom"/>
          </w:tcPr>
          <w:p w:rsidR="00745867" w:rsidRPr="00F64A25" w:rsidRDefault="00745867" w:rsidP="00BE6B3D">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745867" w:rsidRPr="00F64A25" w:rsidRDefault="00745867" w:rsidP="00BE6B3D">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7035,3</w:t>
            </w:r>
          </w:p>
        </w:tc>
        <w:tc>
          <w:tcPr>
            <w:tcW w:w="57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52,4</w:t>
            </w:r>
          </w:p>
        </w:tc>
        <w:tc>
          <w:tcPr>
            <w:tcW w:w="573"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2,2</w:t>
            </w:r>
          </w:p>
        </w:tc>
        <w:tc>
          <w:tcPr>
            <w:tcW w:w="575"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21229,2</w:t>
            </w:r>
          </w:p>
        </w:tc>
        <w:tc>
          <w:tcPr>
            <w:tcW w:w="57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95,1</w:t>
            </w:r>
          </w:p>
        </w:tc>
        <w:tc>
          <w:tcPr>
            <w:tcW w:w="54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3,7</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0"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3"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5"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4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745867" w:rsidRPr="00050CF1" w:rsidTr="004B3A7E">
        <w:trPr>
          <w:trHeight w:val="255"/>
        </w:trPr>
        <w:tc>
          <w:tcPr>
            <w:tcW w:w="1082" w:type="pct"/>
            <w:shd w:val="clear" w:color="auto" w:fill="auto"/>
            <w:vAlign w:val="bottom"/>
          </w:tcPr>
          <w:p w:rsidR="00745867" w:rsidRPr="00F64A25" w:rsidRDefault="00745867" w:rsidP="00BE6B3D">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745867" w:rsidRPr="00F64A25" w:rsidRDefault="00745867" w:rsidP="00BE6B3D">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3921,3</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66,8</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1,2</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1189,3</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63,2</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0,2</w:t>
            </w:r>
          </w:p>
        </w:tc>
      </w:tr>
      <w:tr w:rsidR="00745867" w:rsidRPr="00050CF1" w:rsidTr="004B3A7E">
        <w:trPr>
          <w:trHeight w:val="255"/>
        </w:trPr>
        <w:tc>
          <w:tcPr>
            <w:tcW w:w="1082" w:type="pct"/>
            <w:shd w:val="clear" w:color="auto" w:fill="auto"/>
            <w:vAlign w:val="bottom"/>
          </w:tcPr>
          <w:p w:rsidR="00745867" w:rsidRPr="00DA278B" w:rsidRDefault="00745867" w:rsidP="00BE6B3D">
            <w:pPr>
              <w:spacing w:line="240" w:lineRule="exact"/>
              <w:ind w:left="142"/>
              <w:rPr>
                <w:rFonts w:ascii="Times New Roman CYR" w:hAnsi="Times New Roman CYR" w:cs="Times New Roman CYR"/>
                <w:sz w:val="20"/>
                <w:szCs w:val="20"/>
                <w:highlight w:val="yellow"/>
              </w:rPr>
            </w:pPr>
            <w:r w:rsidRPr="003D660F">
              <w:rPr>
                <w:rFonts w:ascii="Calibri" w:hAnsi="Calibri" w:cs="Calibri"/>
                <w:bCs/>
                <w:sz w:val="20"/>
                <w:szCs w:val="20"/>
              </w:rPr>
              <w:t>текстильні матеріали</w:t>
            </w:r>
          </w:p>
        </w:tc>
        <w:tc>
          <w:tcPr>
            <w:tcW w:w="502" w:type="pct"/>
            <w:shd w:val="clear" w:color="auto" w:fill="auto"/>
            <w:vAlign w:val="bottom"/>
          </w:tcPr>
          <w:p w:rsidR="00745867" w:rsidRPr="00DA278B" w:rsidRDefault="00745867" w:rsidP="00BE6B3D">
            <w:pPr>
              <w:spacing w:line="240" w:lineRule="exact"/>
              <w:jc w:val="center"/>
              <w:rPr>
                <w:rFonts w:ascii="Calibri" w:hAnsi="Calibri" w:cs="Calibri"/>
                <w:sz w:val="20"/>
                <w:szCs w:val="20"/>
                <w:highlight w:val="yellow"/>
              </w:rPr>
            </w:pPr>
            <w:r w:rsidRPr="003D660F">
              <w:rPr>
                <w:rFonts w:ascii="Calibri" w:hAnsi="Calibri" w:cs="Calibri"/>
                <w:sz w:val="20"/>
                <w:szCs w:val="20"/>
              </w:rPr>
              <w:t>59</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372,9</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95,7</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0,1</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3422,6</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143,1</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0,6</w:t>
            </w:r>
          </w:p>
        </w:tc>
      </w:tr>
      <w:tr w:rsidR="00745867" w:rsidRPr="00050CF1" w:rsidTr="004B3A7E">
        <w:trPr>
          <w:trHeight w:val="255"/>
        </w:trPr>
        <w:tc>
          <w:tcPr>
            <w:tcW w:w="1082" w:type="pct"/>
            <w:shd w:val="clear" w:color="auto" w:fill="auto"/>
            <w:vAlign w:val="bottom"/>
          </w:tcPr>
          <w:p w:rsidR="00745867" w:rsidRPr="00F64A25" w:rsidRDefault="00745867" w:rsidP="00BE6B3D">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745867" w:rsidRPr="00F64A25" w:rsidRDefault="00745867" w:rsidP="00BE6B3D">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4098,7</w:t>
            </w:r>
          </w:p>
        </w:tc>
        <w:tc>
          <w:tcPr>
            <w:tcW w:w="570"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119,1</w:t>
            </w:r>
          </w:p>
        </w:tc>
        <w:tc>
          <w:tcPr>
            <w:tcW w:w="573"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1,3</w:t>
            </w:r>
          </w:p>
        </w:tc>
        <w:tc>
          <w:tcPr>
            <w:tcW w:w="575"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1037,2</w:t>
            </w:r>
          </w:p>
        </w:tc>
        <w:tc>
          <w:tcPr>
            <w:tcW w:w="57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25,4</w:t>
            </w:r>
          </w:p>
        </w:tc>
        <w:tc>
          <w:tcPr>
            <w:tcW w:w="544" w:type="pct"/>
            <w:shd w:val="clear" w:color="auto" w:fill="auto"/>
            <w:vAlign w:val="bottom"/>
          </w:tcPr>
          <w:p w:rsidR="00745867" w:rsidRPr="00EF01AF" w:rsidRDefault="00745867">
            <w:pPr>
              <w:jc w:val="right"/>
              <w:rPr>
                <w:rFonts w:asciiTheme="minorHAnsi" w:hAnsiTheme="minorHAnsi" w:cstheme="minorHAnsi"/>
                <w:iCs/>
                <w:sz w:val="20"/>
                <w:szCs w:val="20"/>
              </w:rPr>
            </w:pPr>
            <w:r w:rsidRPr="00EF01AF">
              <w:rPr>
                <w:rFonts w:asciiTheme="minorHAnsi" w:hAnsiTheme="minorHAnsi" w:cstheme="minorHAnsi"/>
                <w:iCs/>
                <w:sz w:val="20"/>
                <w:szCs w:val="20"/>
              </w:rPr>
              <w:t>0,2</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0"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3"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5"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4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745867" w:rsidRPr="00050CF1" w:rsidTr="004B3A7E">
        <w:trPr>
          <w:trHeight w:val="255"/>
        </w:trPr>
        <w:tc>
          <w:tcPr>
            <w:tcW w:w="1082" w:type="pct"/>
            <w:shd w:val="clear" w:color="auto" w:fill="auto"/>
            <w:vAlign w:val="bottom"/>
          </w:tcPr>
          <w:p w:rsidR="00745867" w:rsidRPr="00F64A25" w:rsidRDefault="00745867" w:rsidP="00A73BC4">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745867" w:rsidRPr="00F64A25" w:rsidRDefault="00745867"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270,1</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43,6</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0,1</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750,8</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22,2</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0,1</w:t>
            </w:r>
          </w:p>
        </w:tc>
      </w:tr>
      <w:tr w:rsidR="00745867" w:rsidRPr="00050CF1" w:rsidTr="004B3A7E">
        <w:trPr>
          <w:trHeight w:val="255"/>
        </w:trPr>
        <w:tc>
          <w:tcPr>
            <w:tcW w:w="1082" w:type="pct"/>
            <w:shd w:val="clear" w:color="auto" w:fill="auto"/>
            <w:vAlign w:val="bottom"/>
          </w:tcPr>
          <w:p w:rsidR="00745867" w:rsidRPr="00F64A25" w:rsidRDefault="00745867" w:rsidP="00A73BC4">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745867" w:rsidRPr="00F64A25" w:rsidRDefault="00745867"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0"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3"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5"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124,6</w:t>
            </w:r>
          </w:p>
        </w:tc>
        <w:tc>
          <w:tcPr>
            <w:tcW w:w="57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69,5</w:t>
            </w:r>
          </w:p>
        </w:tc>
        <w:tc>
          <w:tcPr>
            <w:tcW w:w="544" w:type="pct"/>
            <w:shd w:val="clear" w:color="auto" w:fill="auto"/>
            <w:vAlign w:val="bottom"/>
          </w:tcPr>
          <w:p w:rsidR="00745867" w:rsidRPr="00EF01AF" w:rsidRDefault="00745867">
            <w:pPr>
              <w:jc w:val="right"/>
              <w:rPr>
                <w:rFonts w:asciiTheme="minorHAnsi" w:hAnsiTheme="minorHAnsi" w:cstheme="minorHAnsi"/>
                <w:sz w:val="20"/>
                <w:szCs w:val="20"/>
              </w:rPr>
            </w:pPr>
            <w:r w:rsidRPr="00EF01AF">
              <w:rPr>
                <w:rFonts w:asciiTheme="minorHAnsi" w:hAnsiTheme="minorHAnsi" w:cstheme="minorHAnsi"/>
                <w:sz w:val="20"/>
                <w:szCs w:val="20"/>
              </w:rPr>
              <w:t>0,0</w:t>
            </w:r>
          </w:p>
        </w:tc>
      </w:tr>
      <w:tr w:rsidR="0051015E" w:rsidRPr="00050CF1" w:rsidTr="004B3A7E">
        <w:trPr>
          <w:trHeight w:val="255"/>
        </w:trPr>
        <w:tc>
          <w:tcPr>
            <w:tcW w:w="1082" w:type="pct"/>
            <w:shd w:val="clear" w:color="auto" w:fill="auto"/>
            <w:vAlign w:val="bottom"/>
          </w:tcPr>
          <w:p w:rsidR="0051015E" w:rsidRPr="00F64A25" w:rsidRDefault="0051015E" w:rsidP="00A73BC4">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51015E" w:rsidRPr="00F64A25" w:rsidRDefault="0051015E" w:rsidP="00A73BC4">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3344,7</w:t>
            </w:r>
          </w:p>
        </w:tc>
        <w:tc>
          <w:tcPr>
            <w:tcW w:w="570"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34,7</w:t>
            </w:r>
          </w:p>
        </w:tc>
        <w:tc>
          <w:tcPr>
            <w:tcW w:w="573"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w:t>
            </w:r>
          </w:p>
        </w:tc>
        <w:tc>
          <w:tcPr>
            <w:tcW w:w="575"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8678,4</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115,6</w:t>
            </w:r>
          </w:p>
        </w:tc>
        <w:tc>
          <w:tcPr>
            <w:tcW w:w="54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1,5</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0"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3"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5"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4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51015E" w:rsidRPr="00050CF1" w:rsidTr="004B3A7E">
        <w:trPr>
          <w:trHeight w:val="255"/>
        </w:trPr>
        <w:tc>
          <w:tcPr>
            <w:tcW w:w="1082" w:type="pct"/>
            <w:shd w:val="clear" w:color="auto" w:fill="auto"/>
            <w:vAlign w:val="bottom"/>
          </w:tcPr>
          <w:p w:rsidR="0051015E" w:rsidRPr="00F64A25" w:rsidRDefault="0051015E" w:rsidP="00A73BC4">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51015E" w:rsidRPr="00F64A25" w:rsidRDefault="0051015E"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2005,0</w:t>
            </w:r>
          </w:p>
        </w:tc>
        <w:tc>
          <w:tcPr>
            <w:tcW w:w="570"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40,5</w:t>
            </w:r>
          </w:p>
        </w:tc>
        <w:tc>
          <w:tcPr>
            <w:tcW w:w="573"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0,6</w:t>
            </w:r>
          </w:p>
        </w:tc>
        <w:tc>
          <w:tcPr>
            <w:tcW w:w="575"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1150,9</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120,7</w:t>
            </w:r>
          </w:p>
        </w:tc>
        <w:tc>
          <w:tcPr>
            <w:tcW w:w="54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0,2</w:t>
            </w:r>
          </w:p>
        </w:tc>
      </w:tr>
      <w:tr w:rsidR="0051015E" w:rsidRPr="00050CF1" w:rsidTr="004B3A7E">
        <w:trPr>
          <w:trHeight w:val="255"/>
        </w:trPr>
        <w:tc>
          <w:tcPr>
            <w:tcW w:w="1082" w:type="pct"/>
            <w:shd w:val="clear" w:color="auto" w:fill="auto"/>
            <w:vAlign w:val="bottom"/>
          </w:tcPr>
          <w:p w:rsidR="0051015E" w:rsidRPr="00F64A25" w:rsidRDefault="0051015E" w:rsidP="00A73BC4">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51015E" w:rsidRPr="00F64A25" w:rsidRDefault="0051015E"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869,2</w:t>
            </w:r>
          </w:p>
        </w:tc>
        <w:tc>
          <w:tcPr>
            <w:tcW w:w="570"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26,0</w:t>
            </w:r>
          </w:p>
        </w:tc>
        <w:tc>
          <w:tcPr>
            <w:tcW w:w="573"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0,3</w:t>
            </w:r>
          </w:p>
        </w:tc>
        <w:tc>
          <w:tcPr>
            <w:tcW w:w="575"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6054,7</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119,6</w:t>
            </w:r>
          </w:p>
        </w:tc>
        <w:tc>
          <w:tcPr>
            <w:tcW w:w="54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1,1</w:t>
            </w:r>
          </w:p>
        </w:tc>
      </w:tr>
      <w:tr w:rsidR="0051015E" w:rsidRPr="00983258" w:rsidTr="004B3A7E">
        <w:trPr>
          <w:trHeight w:val="255"/>
        </w:trPr>
        <w:tc>
          <w:tcPr>
            <w:tcW w:w="1082" w:type="pct"/>
            <w:shd w:val="clear" w:color="auto" w:fill="auto"/>
            <w:vAlign w:val="bottom"/>
          </w:tcPr>
          <w:p w:rsidR="0051015E" w:rsidRPr="00F64A25" w:rsidRDefault="0051015E" w:rsidP="00A73BC4">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rsidR="0051015E" w:rsidRPr="00F64A25" w:rsidRDefault="0051015E" w:rsidP="00A73BC4">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70"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73"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75"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133,6</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92,6</w:t>
            </w:r>
          </w:p>
        </w:tc>
        <w:tc>
          <w:tcPr>
            <w:tcW w:w="54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0,0</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C5F36">
              <w:rPr>
                <w:rFonts w:ascii="Calibri" w:hAnsi="Calibri" w:cs="Calibri"/>
                <w:bCs/>
                <w:spacing w:val="-6"/>
                <w:sz w:val="20"/>
                <w:szCs w:val="20"/>
              </w:rPr>
              <w:t>травня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EC5F36">
              <w:rPr>
                <w:rFonts w:ascii="Calibri" w:hAnsi="Calibri" w:cs="Calibri"/>
                <w:bCs/>
                <w:spacing w:val="-6"/>
                <w:sz w:val="20"/>
                <w:szCs w:val="20"/>
              </w:rPr>
              <w:t>травня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51015E" w:rsidRPr="00050CF1" w:rsidTr="004B3A7E">
        <w:trPr>
          <w:trHeight w:val="255"/>
        </w:trPr>
        <w:tc>
          <w:tcPr>
            <w:tcW w:w="1079" w:type="pct"/>
            <w:tcBorders>
              <w:top w:val="single" w:sz="4" w:space="0" w:color="auto"/>
            </w:tcBorders>
            <w:shd w:val="clear" w:color="auto" w:fill="auto"/>
            <w:vAlign w:val="bottom"/>
          </w:tcPr>
          <w:p w:rsidR="0051015E" w:rsidRPr="004A2DA2" w:rsidRDefault="0051015E" w:rsidP="00E92E56">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51015E" w:rsidRPr="004A2DA2" w:rsidRDefault="0051015E" w:rsidP="00E92E56">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18547,7</w:t>
            </w:r>
          </w:p>
        </w:tc>
        <w:tc>
          <w:tcPr>
            <w:tcW w:w="574" w:type="pct"/>
            <w:tcBorders>
              <w:top w:val="single" w:sz="4" w:space="0" w:color="auto"/>
            </w:tcBorders>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70,5</w:t>
            </w:r>
          </w:p>
        </w:tc>
        <w:tc>
          <w:tcPr>
            <w:tcW w:w="567" w:type="pct"/>
            <w:tcBorders>
              <w:top w:val="single" w:sz="4" w:space="0" w:color="auto"/>
            </w:tcBorders>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5,7</w:t>
            </w:r>
          </w:p>
        </w:tc>
        <w:tc>
          <w:tcPr>
            <w:tcW w:w="566" w:type="pct"/>
            <w:tcBorders>
              <w:top w:val="single" w:sz="4" w:space="0" w:color="auto"/>
            </w:tcBorders>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47654,2</w:t>
            </w:r>
          </w:p>
        </w:tc>
        <w:tc>
          <w:tcPr>
            <w:tcW w:w="574" w:type="pct"/>
            <w:tcBorders>
              <w:top w:val="single" w:sz="4" w:space="0" w:color="auto"/>
            </w:tcBorders>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137,0</w:t>
            </w:r>
          </w:p>
        </w:tc>
        <w:tc>
          <w:tcPr>
            <w:tcW w:w="577" w:type="pct"/>
            <w:tcBorders>
              <w:top w:val="single" w:sz="4" w:space="0" w:color="auto"/>
            </w:tcBorders>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8,3</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51015E" w:rsidRPr="00050CF1" w:rsidTr="004B3A7E">
        <w:trPr>
          <w:trHeight w:val="255"/>
        </w:trPr>
        <w:tc>
          <w:tcPr>
            <w:tcW w:w="1079" w:type="pct"/>
            <w:shd w:val="clear" w:color="auto" w:fill="auto"/>
            <w:vAlign w:val="bottom"/>
          </w:tcPr>
          <w:p w:rsidR="0051015E" w:rsidRPr="004A2DA2" w:rsidRDefault="0051015E" w:rsidP="00E92E56">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51015E" w:rsidRPr="004A2DA2" w:rsidRDefault="0051015E" w:rsidP="00E92E56">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8827,3</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51,3</w:t>
            </w:r>
          </w:p>
        </w:tc>
        <w:tc>
          <w:tcPr>
            <w:tcW w:w="56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2,7</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13110,1</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165,2</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2,3</w:t>
            </w:r>
          </w:p>
        </w:tc>
      </w:tr>
      <w:tr w:rsidR="0051015E" w:rsidRPr="00050CF1" w:rsidTr="004B3A7E">
        <w:trPr>
          <w:trHeight w:val="255"/>
        </w:trPr>
        <w:tc>
          <w:tcPr>
            <w:tcW w:w="1079" w:type="pct"/>
            <w:shd w:val="clear" w:color="auto" w:fill="auto"/>
            <w:vAlign w:val="bottom"/>
          </w:tcPr>
          <w:p w:rsidR="0051015E" w:rsidRPr="004A2DA2" w:rsidRDefault="0051015E" w:rsidP="00E92E56">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51015E" w:rsidRPr="004A2DA2" w:rsidRDefault="0051015E" w:rsidP="00E92E56">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43506,5</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82,7</w:t>
            </w:r>
          </w:p>
        </w:tc>
        <w:tc>
          <w:tcPr>
            <w:tcW w:w="56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13,3</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130222,8</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150,2</w:t>
            </w:r>
          </w:p>
        </w:tc>
        <w:tc>
          <w:tcPr>
            <w:tcW w:w="57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22,7</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51015E" w:rsidRPr="00050CF1" w:rsidTr="004B3A7E">
        <w:trPr>
          <w:trHeight w:val="255"/>
        </w:trPr>
        <w:tc>
          <w:tcPr>
            <w:tcW w:w="1079" w:type="pct"/>
            <w:shd w:val="clear" w:color="auto" w:fill="auto"/>
            <w:vAlign w:val="bottom"/>
          </w:tcPr>
          <w:p w:rsidR="0051015E" w:rsidRPr="004A2DA2" w:rsidRDefault="0051015E" w:rsidP="00E92E56">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51015E" w:rsidRPr="004A2DA2" w:rsidRDefault="0051015E" w:rsidP="00E92E56">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30022,8</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78,5</w:t>
            </w:r>
          </w:p>
        </w:tc>
        <w:tc>
          <w:tcPr>
            <w:tcW w:w="56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9,2</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75030,6</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111,2</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13,1</w:t>
            </w:r>
          </w:p>
        </w:tc>
      </w:tr>
      <w:tr w:rsidR="0051015E" w:rsidRPr="00050CF1" w:rsidTr="004B3A7E">
        <w:trPr>
          <w:trHeight w:val="255"/>
        </w:trPr>
        <w:tc>
          <w:tcPr>
            <w:tcW w:w="1079" w:type="pct"/>
            <w:shd w:val="clear" w:color="auto" w:fill="auto"/>
            <w:vAlign w:val="bottom"/>
          </w:tcPr>
          <w:p w:rsidR="0051015E" w:rsidRPr="004A2DA2" w:rsidRDefault="0051015E" w:rsidP="00460897">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51015E" w:rsidRPr="004A2DA2" w:rsidRDefault="0051015E" w:rsidP="00460897">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10633,8</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80,6</w:t>
            </w:r>
          </w:p>
        </w:tc>
        <w:tc>
          <w:tcPr>
            <w:tcW w:w="56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3,3</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42748,4</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104,0</w:t>
            </w:r>
          </w:p>
        </w:tc>
        <w:tc>
          <w:tcPr>
            <w:tcW w:w="57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7,5</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51015E" w:rsidRPr="00050CF1" w:rsidTr="004B3A7E">
        <w:trPr>
          <w:trHeight w:val="255"/>
        </w:trPr>
        <w:tc>
          <w:tcPr>
            <w:tcW w:w="1079" w:type="pct"/>
            <w:shd w:val="clear" w:color="auto" w:fill="FFFFFF" w:themeFill="background1"/>
            <w:vAlign w:val="bottom"/>
          </w:tcPr>
          <w:p w:rsidR="0051015E" w:rsidRPr="004A2DA2" w:rsidRDefault="0051015E" w:rsidP="00460897">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51015E" w:rsidRPr="004A2DA2" w:rsidRDefault="0051015E" w:rsidP="00460897">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3446,5</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82,0</w:t>
            </w:r>
          </w:p>
        </w:tc>
        <w:tc>
          <w:tcPr>
            <w:tcW w:w="56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1,1</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41548,0</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104,2</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7,3</w:t>
            </w:r>
          </w:p>
        </w:tc>
      </w:tr>
      <w:tr w:rsidR="0051015E" w:rsidRPr="00050CF1" w:rsidTr="004B3A7E">
        <w:trPr>
          <w:trHeight w:val="255"/>
        </w:trPr>
        <w:tc>
          <w:tcPr>
            <w:tcW w:w="1079" w:type="pct"/>
            <w:shd w:val="clear" w:color="auto" w:fill="auto"/>
            <w:vAlign w:val="bottom"/>
          </w:tcPr>
          <w:p w:rsidR="0051015E" w:rsidRPr="004A2DA2" w:rsidRDefault="0051015E" w:rsidP="00460897">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51015E" w:rsidRPr="004A2DA2" w:rsidRDefault="0051015E" w:rsidP="00460897">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6693,2</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75,6</w:t>
            </w:r>
          </w:p>
        </w:tc>
        <w:tc>
          <w:tcPr>
            <w:tcW w:w="56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2,1</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к</w:t>
            </w:r>
          </w:p>
        </w:tc>
      </w:tr>
      <w:tr w:rsidR="0051015E" w:rsidRPr="00050CF1" w:rsidTr="004B3A7E">
        <w:trPr>
          <w:trHeight w:val="255"/>
        </w:trPr>
        <w:tc>
          <w:tcPr>
            <w:tcW w:w="1079" w:type="pct"/>
            <w:shd w:val="clear" w:color="auto" w:fill="auto"/>
            <w:vAlign w:val="bottom"/>
          </w:tcPr>
          <w:p w:rsidR="0051015E" w:rsidRPr="004A2DA2" w:rsidRDefault="0051015E" w:rsidP="0019163F">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51015E" w:rsidRPr="004A2DA2" w:rsidRDefault="0051015E" w:rsidP="0019163F">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3997,4</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58,9</w:t>
            </w:r>
          </w:p>
        </w:tc>
        <w:tc>
          <w:tcPr>
            <w:tcW w:w="56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1,2</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11070,5</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127,1</w:t>
            </w:r>
          </w:p>
        </w:tc>
        <w:tc>
          <w:tcPr>
            <w:tcW w:w="57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1,9</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51015E" w:rsidRPr="00050CF1" w:rsidTr="004B3A7E">
        <w:trPr>
          <w:trHeight w:val="255"/>
        </w:trPr>
        <w:tc>
          <w:tcPr>
            <w:tcW w:w="1079" w:type="pct"/>
            <w:shd w:val="clear" w:color="auto" w:fill="auto"/>
            <w:vAlign w:val="bottom"/>
          </w:tcPr>
          <w:p w:rsidR="0051015E" w:rsidRPr="004A2DA2" w:rsidRDefault="0051015E" w:rsidP="00F8408F">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51015E" w:rsidRPr="004A2DA2" w:rsidRDefault="0051015E" w:rsidP="00F8408F">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3996,8</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58,9</w:t>
            </w:r>
          </w:p>
        </w:tc>
        <w:tc>
          <w:tcPr>
            <w:tcW w:w="56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1,2</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10972,8</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127,2</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1,9</w:t>
            </w:r>
          </w:p>
        </w:tc>
      </w:tr>
      <w:tr w:rsidR="0051015E" w:rsidRPr="00050CF1" w:rsidTr="004B3A7E">
        <w:trPr>
          <w:trHeight w:val="255"/>
        </w:trPr>
        <w:tc>
          <w:tcPr>
            <w:tcW w:w="1079" w:type="pct"/>
            <w:shd w:val="clear" w:color="auto" w:fill="auto"/>
            <w:vAlign w:val="bottom"/>
          </w:tcPr>
          <w:p w:rsidR="0051015E" w:rsidRPr="004A2DA2" w:rsidRDefault="0051015E" w:rsidP="00F8408F">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51015E" w:rsidRPr="004A2DA2" w:rsidRDefault="0051015E" w:rsidP="00F8408F">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10145,4</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103,7</w:t>
            </w:r>
          </w:p>
        </w:tc>
        <w:tc>
          <w:tcPr>
            <w:tcW w:w="56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3,1</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10763,3</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101,0</w:t>
            </w:r>
          </w:p>
        </w:tc>
        <w:tc>
          <w:tcPr>
            <w:tcW w:w="57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1,9</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66"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4"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c>
          <w:tcPr>
            <w:tcW w:w="577" w:type="pct"/>
            <w:shd w:val="clear" w:color="auto" w:fill="auto"/>
            <w:vAlign w:val="bottom"/>
          </w:tcPr>
          <w:p w:rsidR="006C51FD" w:rsidRPr="00EF01AF" w:rsidRDefault="006C51FD" w:rsidP="004B3A7E">
            <w:pPr>
              <w:jc w:val="right"/>
              <w:rPr>
                <w:rFonts w:asciiTheme="minorHAnsi" w:hAnsiTheme="minorHAnsi" w:cstheme="minorHAnsi"/>
                <w:sz w:val="20"/>
                <w:szCs w:val="20"/>
                <w:highlight w:val="yellow"/>
              </w:rPr>
            </w:pPr>
          </w:p>
        </w:tc>
      </w:tr>
      <w:tr w:rsidR="0051015E" w:rsidRPr="00050CF1" w:rsidTr="004B3A7E">
        <w:trPr>
          <w:trHeight w:val="255"/>
        </w:trPr>
        <w:tc>
          <w:tcPr>
            <w:tcW w:w="1079" w:type="pct"/>
            <w:shd w:val="clear" w:color="auto" w:fill="auto"/>
            <w:vAlign w:val="bottom"/>
          </w:tcPr>
          <w:p w:rsidR="0051015E" w:rsidRPr="004A2DA2" w:rsidRDefault="0051015E" w:rsidP="00F8408F">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51015E" w:rsidRPr="004A2DA2" w:rsidRDefault="0051015E" w:rsidP="00F8408F">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8678,1</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108,8</w:t>
            </w:r>
          </w:p>
        </w:tc>
        <w:tc>
          <w:tcPr>
            <w:tcW w:w="56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2,7</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6287,2</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155,5</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1,1</w:t>
            </w:r>
          </w:p>
        </w:tc>
      </w:tr>
      <w:tr w:rsidR="0051015E" w:rsidRPr="00050CF1" w:rsidTr="004B3A7E">
        <w:trPr>
          <w:trHeight w:val="255"/>
        </w:trPr>
        <w:tc>
          <w:tcPr>
            <w:tcW w:w="1079" w:type="pct"/>
            <w:shd w:val="clear" w:color="auto" w:fill="auto"/>
            <w:vAlign w:val="bottom"/>
          </w:tcPr>
          <w:p w:rsidR="0051015E" w:rsidRPr="004A2DA2" w:rsidRDefault="0051015E" w:rsidP="00F8408F">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51015E" w:rsidRPr="004A2DA2" w:rsidRDefault="0051015E" w:rsidP="00F8408F">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6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66"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74"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c>
          <w:tcPr>
            <w:tcW w:w="577" w:type="pct"/>
            <w:shd w:val="clear" w:color="auto" w:fill="auto"/>
            <w:vAlign w:val="bottom"/>
          </w:tcPr>
          <w:p w:rsidR="0051015E" w:rsidRPr="00EF01AF" w:rsidRDefault="0051015E">
            <w:pPr>
              <w:jc w:val="right"/>
              <w:rPr>
                <w:rFonts w:asciiTheme="minorHAnsi" w:hAnsiTheme="minorHAnsi" w:cstheme="minorHAnsi"/>
                <w:iCs/>
                <w:sz w:val="20"/>
                <w:szCs w:val="20"/>
              </w:rPr>
            </w:pPr>
            <w:r w:rsidRPr="00EF01AF">
              <w:rPr>
                <w:rFonts w:asciiTheme="minorHAnsi" w:hAnsiTheme="minorHAnsi" w:cstheme="minorHAnsi"/>
                <w:iCs/>
                <w:sz w:val="20"/>
                <w:szCs w:val="20"/>
              </w:rPr>
              <w:t>к</w:t>
            </w:r>
          </w:p>
        </w:tc>
      </w:tr>
      <w:tr w:rsidR="0051015E" w:rsidRPr="00050CF1" w:rsidTr="004B3A7E">
        <w:trPr>
          <w:trHeight w:val="255"/>
        </w:trPr>
        <w:tc>
          <w:tcPr>
            <w:tcW w:w="1079" w:type="pct"/>
            <w:shd w:val="clear" w:color="auto" w:fill="auto"/>
            <w:vAlign w:val="bottom"/>
          </w:tcPr>
          <w:p w:rsidR="0051015E" w:rsidRPr="004A2DA2" w:rsidRDefault="0051015E" w:rsidP="008809BE">
            <w:pPr>
              <w:spacing w:line="240" w:lineRule="exact"/>
              <w:rPr>
                <w:rFonts w:ascii="Calibri" w:hAnsi="Calibri"/>
                <w:bCs/>
                <w:sz w:val="20"/>
                <w:szCs w:val="20"/>
              </w:rPr>
            </w:pPr>
            <w:r w:rsidRPr="008809BE">
              <w:rPr>
                <w:rFonts w:ascii="Calibri" w:hAnsi="Calibri"/>
                <w:bCs/>
                <w:sz w:val="20"/>
                <w:szCs w:val="20"/>
              </w:rPr>
              <w:t>Товари, придбані в портах</w:t>
            </w:r>
          </w:p>
        </w:tc>
        <w:tc>
          <w:tcPr>
            <w:tcW w:w="497" w:type="pct"/>
            <w:shd w:val="clear" w:color="auto" w:fill="auto"/>
            <w:vAlign w:val="bottom"/>
          </w:tcPr>
          <w:p w:rsidR="0051015E" w:rsidRPr="004A2DA2" w:rsidRDefault="0051015E" w:rsidP="008809BE">
            <w:pPr>
              <w:spacing w:line="240" w:lineRule="exact"/>
              <w:jc w:val="center"/>
              <w:rPr>
                <w:rFonts w:ascii="Calibri" w:hAnsi="Calibri"/>
                <w:bCs/>
                <w:sz w:val="20"/>
                <w:szCs w:val="20"/>
              </w:rPr>
            </w:pPr>
          </w:p>
        </w:tc>
        <w:tc>
          <w:tcPr>
            <w:tcW w:w="566" w:type="pct"/>
            <w:shd w:val="clear" w:color="auto" w:fill="auto"/>
            <w:vAlign w:val="bottom"/>
          </w:tcPr>
          <w:p w:rsidR="0051015E" w:rsidRPr="00EF01AF" w:rsidRDefault="00EF0B68">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shd w:val="clear" w:color="auto" w:fill="auto"/>
            <w:vAlign w:val="bottom"/>
          </w:tcPr>
          <w:p w:rsidR="0051015E" w:rsidRPr="00EF01AF" w:rsidRDefault="00EF0B68">
            <w:pPr>
              <w:jc w:val="right"/>
              <w:rPr>
                <w:rFonts w:asciiTheme="minorHAnsi" w:hAnsiTheme="minorHAnsi" w:cstheme="minorHAnsi"/>
                <w:sz w:val="20"/>
                <w:szCs w:val="20"/>
              </w:rPr>
            </w:pPr>
            <w:r>
              <w:rPr>
                <w:rFonts w:asciiTheme="minorHAnsi" w:hAnsiTheme="minorHAnsi" w:cstheme="minorHAnsi"/>
                <w:sz w:val="20"/>
                <w:szCs w:val="20"/>
              </w:rPr>
              <w:t>–</w:t>
            </w:r>
          </w:p>
        </w:tc>
        <w:tc>
          <w:tcPr>
            <w:tcW w:w="567" w:type="pct"/>
            <w:shd w:val="clear" w:color="auto" w:fill="auto"/>
            <w:vAlign w:val="bottom"/>
          </w:tcPr>
          <w:p w:rsidR="0051015E" w:rsidRPr="00EF01AF" w:rsidRDefault="00EF0B68">
            <w:pPr>
              <w:jc w:val="right"/>
              <w:rPr>
                <w:rFonts w:asciiTheme="minorHAnsi" w:hAnsiTheme="minorHAnsi" w:cstheme="minorHAnsi"/>
                <w:sz w:val="20"/>
                <w:szCs w:val="20"/>
              </w:rPr>
            </w:pPr>
            <w:r>
              <w:rPr>
                <w:rFonts w:asciiTheme="minorHAnsi" w:hAnsiTheme="minorHAnsi" w:cstheme="minorHAnsi"/>
                <w:sz w:val="20"/>
                <w:szCs w:val="20"/>
              </w:rPr>
              <w:t>–</w:t>
            </w:r>
          </w:p>
        </w:tc>
        <w:tc>
          <w:tcPr>
            <w:tcW w:w="566"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4"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к</w:t>
            </w:r>
          </w:p>
        </w:tc>
        <w:tc>
          <w:tcPr>
            <w:tcW w:w="577" w:type="pct"/>
            <w:shd w:val="clear" w:color="auto" w:fill="auto"/>
            <w:vAlign w:val="bottom"/>
          </w:tcPr>
          <w:p w:rsidR="0051015E" w:rsidRPr="00EF01AF" w:rsidRDefault="0051015E">
            <w:pPr>
              <w:jc w:val="right"/>
              <w:rPr>
                <w:rFonts w:asciiTheme="minorHAnsi" w:hAnsiTheme="minorHAnsi" w:cstheme="minorHAnsi"/>
                <w:sz w:val="20"/>
                <w:szCs w:val="20"/>
              </w:rPr>
            </w:pPr>
            <w:r w:rsidRPr="00EF01AF">
              <w:rPr>
                <w:rFonts w:asciiTheme="minorHAnsi" w:hAnsiTheme="minorHAnsi" w:cstheme="minorHAnsi"/>
                <w:sz w:val="20"/>
                <w:szCs w:val="20"/>
              </w:rPr>
              <w:t>к</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rsidR="00A25EA9" w:rsidRPr="00A25EA9" w:rsidRDefault="00A25EA9" w:rsidP="005E19BB">
      <w:pPr>
        <w:pStyle w:val="a5"/>
        <w:tabs>
          <w:tab w:val="left" w:pos="1440"/>
        </w:tabs>
        <w:jc w:val="both"/>
        <w:rPr>
          <w:rFonts w:ascii="Calibri" w:hAnsi="Calibri" w:cs="Calibri"/>
          <w:sz w:val="8"/>
          <w:szCs w:val="18"/>
        </w:rPr>
      </w:pPr>
    </w:p>
    <w:p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rsidR="004905E3" w:rsidRPr="00964DC6"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3"/>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76F" w:rsidRDefault="008C376F">
      <w:r>
        <w:separator/>
      </w:r>
    </w:p>
  </w:endnote>
  <w:endnote w:type="continuationSeparator" w:id="0">
    <w:p w:rsidR="008C376F" w:rsidRDefault="008C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A3B" w:rsidRPr="001B266D" w:rsidRDefault="00091A3B"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C1417B">
      <w:rPr>
        <w:rFonts w:ascii="Calibri" w:hAnsi="Calibri" w:cs="Arial"/>
        <w:noProof/>
        <w:sz w:val="20"/>
        <w:szCs w:val="20"/>
      </w:rPr>
      <w:t>2</w:t>
    </w:r>
    <w:r w:rsidRPr="001B266D">
      <w:rPr>
        <w:rFonts w:ascii="Calibri" w:hAnsi="Calibri" w:cs="Arial"/>
        <w:sz w:val="20"/>
        <w:szCs w:val="20"/>
      </w:rPr>
      <w:fldChar w:fldCharType="end"/>
    </w:r>
  </w:p>
  <w:p w:rsidR="00091A3B" w:rsidRPr="006829A8" w:rsidRDefault="00091A3B">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76F" w:rsidRDefault="008C376F">
      <w:r>
        <w:separator/>
      </w:r>
    </w:p>
  </w:footnote>
  <w:footnote w:type="continuationSeparator" w:id="0">
    <w:p w:rsidR="008C376F" w:rsidRDefault="008C3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4AE2"/>
    <w:rsid w:val="00024C4F"/>
    <w:rsid w:val="00025136"/>
    <w:rsid w:val="00025756"/>
    <w:rsid w:val="00025DFC"/>
    <w:rsid w:val="000277B3"/>
    <w:rsid w:val="0003211E"/>
    <w:rsid w:val="000335F7"/>
    <w:rsid w:val="00033804"/>
    <w:rsid w:val="00033C96"/>
    <w:rsid w:val="00034E74"/>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62E"/>
    <w:rsid w:val="00087D20"/>
    <w:rsid w:val="0009056B"/>
    <w:rsid w:val="00090995"/>
    <w:rsid w:val="00090EDA"/>
    <w:rsid w:val="000914F1"/>
    <w:rsid w:val="00091A3B"/>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72EA"/>
    <w:rsid w:val="000E78F1"/>
    <w:rsid w:val="000E7E93"/>
    <w:rsid w:val="000F0462"/>
    <w:rsid w:val="000F0F9C"/>
    <w:rsid w:val="000F1562"/>
    <w:rsid w:val="000F1A72"/>
    <w:rsid w:val="000F22C7"/>
    <w:rsid w:val="000F2C7E"/>
    <w:rsid w:val="000F2CB8"/>
    <w:rsid w:val="000F5A2A"/>
    <w:rsid w:val="000F5CA5"/>
    <w:rsid w:val="000F5DAD"/>
    <w:rsid w:val="000F60FB"/>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545"/>
    <w:rsid w:val="001511BF"/>
    <w:rsid w:val="0015171F"/>
    <w:rsid w:val="00151CD4"/>
    <w:rsid w:val="00151D22"/>
    <w:rsid w:val="00151D61"/>
    <w:rsid w:val="001520D6"/>
    <w:rsid w:val="00152123"/>
    <w:rsid w:val="00152A5C"/>
    <w:rsid w:val="00152B49"/>
    <w:rsid w:val="00153068"/>
    <w:rsid w:val="0015349B"/>
    <w:rsid w:val="00153EC4"/>
    <w:rsid w:val="0015463B"/>
    <w:rsid w:val="001553EC"/>
    <w:rsid w:val="001554DC"/>
    <w:rsid w:val="00156FED"/>
    <w:rsid w:val="0015719D"/>
    <w:rsid w:val="00157416"/>
    <w:rsid w:val="00157450"/>
    <w:rsid w:val="00160777"/>
    <w:rsid w:val="00160871"/>
    <w:rsid w:val="00161886"/>
    <w:rsid w:val="00161CEE"/>
    <w:rsid w:val="00162115"/>
    <w:rsid w:val="0016267B"/>
    <w:rsid w:val="00162D4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A61"/>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10821"/>
    <w:rsid w:val="00210F47"/>
    <w:rsid w:val="00211596"/>
    <w:rsid w:val="00211D66"/>
    <w:rsid w:val="00211D9A"/>
    <w:rsid w:val="00211E90"/>
    <w:rsid w:val="002130E2"/>
    <w:rsid w:val="00213A2B"/>
    <w:rsid w:val="00213C19"/>
    <w:rsid w:val="002156AC"/>
    <w:rsid w:val="00215B77"/>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2302"/>
    <w:rsid w:val="00272EF4"/>
    <w:rsid w:val="00275499"/>
    <w:rsid w:val="00275CA2"/>
    <w:rsid w:val="002763A2"/>
    <w:rsid w:val="0027687D"/>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932"/>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5FD"/>
    <w:rsid w:val="0036577B"/>
    <w:rsid w:val="00366EE6"/>
    <w:rsid w:val="00367205"/>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45FA"/>
    <w:rsid w:val="0039547B"/>
    <w:rsid w:val="00395872"/>
    <w:rsid w:val="003969D9"/>
    <w:rsid w:val="00396E34"/>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4D0C"/>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3A66"/>
    <w:rsid w:val="00424107"/>
    <w:rsid w:val="004266D6"/>
    <w:rsid w:val="00426D71"/>
    <w:rsid w:val="00426D98"/>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60897"/>
    <w:rsid w:val="00461025"/>
    <w:rsid w:val="00461DD3"/>
    <w:rsid w:val="004620B3"/>
    <w:rsid w:val="00462734"/>
    <w:rsid w:val="00462822"/>
    <w:rsid w:val="00462934"/>
    <w:rsid w:val="00464907"/>
    <w:rsid w:val="00470189"/>
    <w:rsid w:val="00471E90"/>
    <w:rsid w:val="00472C3D"/>
    <w:rsid w:val="00473490"/>
    <w:rsid w:val="00473502"/>
    <w:rsid w:val="004738E7"/>
    <w:rsid w:val="00473971"/>
    <w:rsid w:val="00473EE5"/>
    <w:rsid w:val="00474ABC"/>
    <w:rsid w:val="00475BEB"/>
    <w:rsid w:val="004760B3"/>
    <w:rsid w:val="00476D52"/>
    <w:rsid w:val="0047702B"/>
    <w:rsid w:val="00480AE8"/>
    <w:rsid w:val="004814FE"/>
    <w:rsid w:val="004827F4"/>
    <w:rsid w:val="00482DF9"/>
    <w:rsid w:val="00483C2F"/>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8D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15E"/>
    <w:rsid w:val="005109A1"/>
    <w:rsid w:val="005109EF"/>
    <w:rsid w:val="005111D9"/>
    <w:rsid w:val="00511880"/>
    <w:rsid w:val="00511B30"/>
    <w:rsid w:val="00513797"/>
    <w:rsid w:val="00514C2B"/>
    <w:rsid w:val="00515CEC"/>
    <w:rsid w:val="005169BC"/>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3FD0"/>
    <w:rsid w:val="00544465"/>
    <w:rsid w:val="00544638"/>
    <w:rsid w:val="00544C45"/>
    <w:rsid w:val="00546074"/>
    <w:rsid w:val="00546C57"/>
    <w:rsid w:val="00547605"/>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1FBD"/>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CB6"/>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E13"/>
    <w:rsid w:val="00602EAC"/>
    <w:rsid w:val="00602FA6"/>
    <w:rsid w:val="00603D02"/>
    <w:rsid w:val="006048CE"/>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2195"/>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867"/>
    <w:rsid w:val="00745F3E"/>
    <w:rsid w:val="007461D6"/>
    <w:rsid w:val="0074654C"/>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66"/>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B8F"/>
    <w:rsid w:val="007D7D47"/>
    <w:rsid w:val="007D7FBC"/>
    <w:rsid w:val="007E034C"/>
    <w:rsid w:val="007E0DA1"/>
    <w:rsid w:val="007E128D"/>
    <w:rsid w:val="007E147E"/>
    <w:rsid w:val="007E206A"/>
    <w:rsid w:val="007E3341"/>
    <w:rsid w:val="007E40BA"/>
    <w:rsid w:val="007E4B89"/>
    <w:rsid w:val="007E4E40"/>
    <w:rsid w:val="007E5031"/>
    <w:rsid w:val="007E5C8C"/>
    <w:rsid w:val="007E5CD8"/>
    <w:rsid w:val="007E6371"/>
    <w:rsid w:val="007E6BDB"/>
    <w:rsid w:val="007E6D2A"/>
    <w:rsid w:val="007F01E0"/>
    <w:rsid w:val="007F06E8"/>
    <w:rsid w:val="007F204F"/>
    <w:rsid w:val="007F49FB"/>
    <w:rsid w:val="007F582F"/>
    <w:rsid w:val="007F5BFA"/>
    <w:rsid w:val="007F6963"/>
    <w:rsid w:val="007F7536"/>
    <w:rsid w:val="007F7676"/>
    <w:rsid w:val="007F791E"/>
    <w:rsid w:val="00800DFA"/>
    <w:rsid w:val="008015C8"/>
    <w:rsid w:val="008022C6"/>
    <w:rsid w:val="00804300"/>
    <w:rsid w:val="00804DF9"/>
    <w:rsid w:val="00804FC4"/>
    <w:rsid w:val="00804FC6"/>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5E5"/>
    <w:rsid w:val="00854D0E"/>
    <w:rsid w:val="00854FF2"/>
    <w:rsid w:val="0085578D"/>
    <w:rsid w:val="00856145"/>
    <w:rsid w:val="00856DC1"/>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09BE"/>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5DF0"/>
    <w:rsid w:val="00896FBD"/>
    <w:rsid w:val="00897AFA"/>
    <w:rsid w:val="008A1026"/>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376F"/>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5376"/>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7F71"/>
    <w:rsid w:val="009A03E2"/>
    <w:rsid w:val="009A147F"/>
    <w:rsid w:val="009A297C"/>
    <w:rsid w:val="009A40E2"/>
    <w:rsid w:val="009A45DF"/>
    <w:rsid w:val="009A4B72"/>
    <w:rsid w:val="009A6A32"/>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7E9"/>
    <w:rsid w:val="009C2869"/>
    <w:rsid w:val="009C2FF9"/>
    <w:rsid w:val="009C33B0"/>
    <w:rsid w:val="009C394C"/>
    <w:rsid w:val="009C4832"/>
    <w:rsid w:val="009C5D62"/>
    <w:rsid w:val="009C610F"/>
    <w:rsid w:val="009C62F2"/>
    <w:rsid w:val="009C7DCC"/>
    <w:rsid w:val="009C7F79"/>
    <w:rsid w:val="009D1667"/>
    <w:rsid w:val="009D17AC"/>
    <w:rsid w:val="009D1994"/>
    <w:rsid w:val="009D29AB"/>
    <w:rsid w:val="009D30B4"/>
    <w:rsid w:val="009D4294"/>
    <w:rsid w:val="009D60D6"/>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98C"/>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5EA9"/>
    <w:rsid w:val="00A26287"/>
    <w:rsid w:val="00A26385"/>
    <w:rsid w:val="00A263C0"/>
    <w:rsid w:val="00A2701A"/>
    <w:rsid w:val="00A30174"/>
    <w:rsid w:val="00A3285E"/>
    <w:rsid w:val="00A3473F"/>
    <w:rsid w:val="00A358EA"/>
    <w:rsid w:val="00A36647"/>
    <w:rsid w:val="00A36730"/>
    <w:rsid w:val="00A36B67"/>
    <w:rsid w:val="00A401CB"/>
    <w:rsid w:val="00A41E53"/>
    <w:rsid w:val="00A4330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978"/>
    <w:rsid w:val="00AC5EE4"/>
    <w:rsid w:val="00AC6148"/>
    <w:rsid w:val="00AC6CC5"/>
    <w:rsid w:val="00AC7125"/>
    <w:rsid w:val="00AC7143"/>
    <w:rsid w:val="00AC7255"/>
    <w:rsid w:val="00AC7281"/>
    <w:rsid w:val="00AC7F21"/>
    <w:rsid w:val="00AD1393"/>
    <w:rsid w:val="00AD1B5D"/>
    <w:rsid w:val="00AD276B"/>
    <w:rsid w:val="00AD3681"/>
    <w:rsid w:val="00AD4275"/>
    <w:rsid w:val="00AD50F9"/>
    <w:rsid w:val="00AD51F7"/>
    <w:rsid w:val="00AD630A"/>
    <w:rsid w:val="00AD63E7"/>
    <w:rsid w:val="00AD694B"/>
    <w:rsid w:val="00AE0068"/>
    <w:rsid w:val="00AE0FA6"/>
    <w:rsid w:val="00AE12FD"/>
    <w:rsid w:val="00AE28C4"/>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4F28"/>
    <w:rsid w:val="00B957ED"/>
    <w:rsid w:val="00B96B07"/>
    <w:rsid w:val="00B977B5"/>
    <w:rsid w:val="00B97E33"/>
    <w:rsid w:val="00BA0389"/>
    <w:rsid w:val="00BA1970"/>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275"/>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2F8A"/>
    <w:rsid w:val="00BE3AA0"/>
    <w:rsid w:val="00BE4392"/>
    <w:rsid w:val="00BE4F2E"/>
    <w:rsid w:val="00BE5806"/>
    <w:rsid w:val="00BE599E"/>
    <w:rsid w:val="00BE6A85"/>
    <w:rsid w:val="00BE6A93"/>
    <w:rsid w:val="00BE6B3D"/>
    <w:rsid w:val="00BE6ECF"/>
    <w:rsid w:val="00BE71E7"/>
    <w:rsid w:val="00BE721D"/>
    <w:rsid w:val="00BF03AC"/>
    <w:rsid w:val="00BF0A15"/>
    <w:rsid w:val="00BF0EDA"/>
    <w:rsid w:val="00BF225E"/>
    <w:rsid w:val="00BF3453"/>
    <w:rsid w:val="00BF4A29"/>
    <w:rsid w:val="00BF5229"/>
    <w:rsid w:val="00BF5528"/>
    <w:rsid w:val="00BF55F8"/>
    <w:rsid w:val="00BF5E32"/>
    <w:rsid w:val="00BF61FF"/>
    <w:rsid w:val="00BF640E"/>
    <w:rsid w:val="00BF6872"/>
    <w:rsid w:val="00BF6937"/>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3431"/>
    <w:rsid w:val="00C1403C"/>
    <w:rsid w:val="00C1417B"/>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23B9"/>
    <w:rsid w:val="00CB313C"/>
    <w:rsid w:val="00CB3D25"/>
    <w:rsid w:val="00CB44A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5B10"/>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533"/>
    <w:rsid w:val="00D3276E"/>
    <w:rsid w:val="00D32A22"/>
    <w:rsid w:val="00D33094"/>
    <w:rsid w:val="00D3313F"/>
    <w:rsid w:val="00D33C1D"/>
    <w:rsid w:val="00D3550A"/>
    <w:rsid w:val="00D358DB"/>
    <w:rsid w:val="00D361D1"/>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30177"/>
    <w:rsid w:val="00E303DF"/>
    <w:rsid w:val="00E3046F"/>
    <w:rsid w:val="00E3264D"/>
    <w:rsid w:val="00E33337"/>
    <w:rsid w:val="00E34855"/>
    <w:rsid w:val="00E35CD1"/>
    <w:rsid w:val="00E35F36"/>
    <w:rsid w:val="00E36852"/>
    <w:rsid w:val="00E37D76"/>
    <w:rsid w:val="00E37FA9"/>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4E87"/>
    <w:rsid w:val="00E85FF6"/>
    <w:rsid w:val="00E8600F"/>
    <w:rsid w:val="00E868E5"/>
    <w:rsid w:val="00E86DB4"/>
    <w:rsid w:val="00E8787F"/>
    <w:rsid w:val="00E87FB3"/>
    <w:rsid w:val="00E908DA"/>
    <w:rsid w:val="00E90E73"/>
    <w:rsid w:val="00E92724"/>
    <w:rsid w:val="00E927C6"/>
    <w:rsid w:val="00E9297A"/>
    <w:rsid w:val="00E92E56"/>
    <w:rsid w:val="00E93150"/>
    <w:rsid w:val="00E93170"/>
    <w:rsid w:val="00E93D4C"/>
    <w:rsid w:val="00E9570C"/>
    <w:rsid w:val="00E95A56"/>
    <w:rsid w:val="00E96159"/>
    <w:rsid w:val="00E96D2C"/>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5F36"/>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01AF"/>
    <w:rsid w:val="00EF0B68"/>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F02"/>
    <w:rsid w:val="00F46484"/>
    <w:rsid w:val="00F46924"/>
    <w:rsid w:val="00F471DD"/>
    <w:rsid w:val="00F5043F"/>
    <w:rsid w:val="00F50507"/>
    <w:rsid w:val="00F511D9"/>
    <w:rsid w:val="00F521B0"/>
    <w:rsid w:val="00F52588"/>
    <w:rsid w:val="00F52F03"/>
    <w:rsid w:val="00F53332"/>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320"/>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13179906">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extLst>
            </c:dLbl>
            <c:dLbl>
              <c:idx val="2"/>
              <c:layout>
                <c:manualLayout>
                  <c:x val="-4.0695265788871823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extLst>
            </c:dLbl>
            <c:dLbl>
              <c:idx val="3"/>
              <c:layout>
                <c:manualLayout>
                  <c:x val="-4.484464338223282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62D-43A4-86BB-4FF249FF176B}"/>
                </c:ext>
                <c:ext xmlns:c15="http://schemas.microsoft.com/office/drawing/2012/chart" uri="{CE6537A1-D6FC-4f65-9D91-7224C49458BB}"/>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extLst>
            </c:dLbl>
            <c:dLbl>
              <c:idx val="1"/>
              <c:layout>
                <c:manualLayout>
                  <c:x val="-4.4844643382232825E-2"/>
                  <c:y val="-5.323702305806825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extLst>
            </c:dLbl>
            <c:dLbl>
              <c:idx val="4"/>
              <c:layout>
                <c:manualLayout>
                  <c:x val="-5.7347666734363437E-2"/>
                  <c:y val="-3.6720236359343968E-2"/>
                </c:manualLayout>
              </c:layout>
              <c:dLblPos val="r"/>
              <c:showLegendKey val="0"/>
              <c:showVal val="1"/>
              <c:showCatName val="0"/>
              <c:showSerName val="0"/>
              <c:showPercent val="0"/>
              <c:showBubbleSize val="0"/>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36.700000000000003</c:v>
                </c:pt>
                <c:pt idx="1">
                  <c:v>43.8</c:v>
                </c:pt>
                <c:pt idx="2">
                  <c:v>67.400000000000006</c:v>
                </c:pt>
                <c:pt idx="3">
                  <c:v>76.5</c:v>
                </c:pt>
                <c:pt idx="4">
                  <c:v>81.2</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90796800"/>
        <c:axId val="90798336"/>
      </c:lineChart>
      <c:catAx>
        <c:axId val="9079680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0798336"/>
        <c:crosses val="autoZero"/>
        <c:auto val="1"/>
        <c:lblAlgn val="ctr"/>
        <c:lblOffset val="100"/>
        <c:noMultiLvlLbl val="0"/>
      </c:catAx>
      <c:valAx>
        <c:axId val="90798336"/>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90796800"/>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extLst>
            </c:dLbl>
            <c:dLbl>
              <c:idx val="1"/>
              <c:layout>
                <c:manualLayout>
                  <c:x val="-1.19216945015631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660548004747814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extLst>
            </c:dLbl>
            <c:dLbl>
              <c:idx val="1"/>
              <c:layout>
                <c:manualLayout>
                  <c:x val="-6.7123393015363519E-2"/>
                  <c:y val="-4.2217739311511779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dlblFieldTable/>
                  <c15:showDataLabelsRange val="0"/>
                </c:ext>
              </c:extLst>
            </c:dLbl>
            <c:dLbl>
              <c:idx val="2"/>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extLst>
            </c:dLbl>
            <c:dLbl>
              <c:idx val="3"/>
              <c:layout>
                <c:manualLayout>
                  <c:x val="-6.08388919537924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67.8</c:v>
                </c:pt>
                <c:pt idx="1">
                  <c:v>65.5</c:v>
                </c:pt>
                <c:pt idx="2">
                  <c:v>99</c:v>
                </c:pt>
                <c:pt idx="3">
                  <c:v>118.2</c:v>
                </c:pt>
                <c:pt idx="4">
                  <c:v>128.30000000000001</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84656128"/>
        <c:axId val="84657664"/>
      </c:lineChart>
      <c:catAx>
        <c:axId val="8465612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4657664"/>
        <c:crosses val="autoZero"/>
        <c:auto val="1"/>
        <c:lblAlgn val="ctr"/>
        <c:lblOffset val="100"/>
        <c:noMultiLvlLbl val="0"/>
      </c:catAx>
      <c:valAx>
        <c:axId val="84657664"/>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4656128"/>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436A3-AE9D-43DA-8742-992F26E09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1214</Words>
  <Characters>7519</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8716</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K.Goncharova</cp:lastModifiedBy>
  <cp:revision>15</cp:revision>
  <cp:lastPrinted>2023-02-14T12:23:00Z</cp:lastPrinted>
  <dcterms:created xsi:type="dcterms:W3CDTF">2023-06-15T10:16:00Z</dcterms:created>
  <dcterms:modified xsi:type="dcterms:W3CDTF">2023-07-17T10:50:00Z</dcterms:modified>
</cp:coreProperties>
</file>