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B8138C" w:rsidRDefault="00B8138C" w:rsidP="00B8138C">
      <w:pPr>
        <w:pStyle w:val="ab"/>
        <w:tabs>
          <w:tab w:val="left" w:pos="709"/>
        </w:tabs>
        <w:spacing w:after="0"/>
        <w:rPr>
          <w:rFonts w:ascii="Calibri" w:hAnsi="Calibri"/>
          <w:sz w:val="26"/>
          <w:szCs w:val="26"/>
        </w:rPr>
      </w:pPr>
      <w:r w:rsidRPr="00B8138C">
        <w:rPr>
          <w:rFonts w:ascii="Calibri" w:hAnsi="Calibri"/>
          <w:sz w:val="26"/>
          <w:szCs w:val="26"/>
        </w:rPr>
        <w:t>16.10.2020</w:t>
      </w: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5D33AF">
        <w:rPr>
          <w:rFonts w:ascii="Calibri" w:hAnsi="Calibri"/>
          <w:b/>
          <w:sz w:val="26"/>
          <w:szCs w:val="26"/>
        </w:rPr>
        <w:t>серпні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4F78D3"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5D33AF">
        <w:rPr>
          <w:rFonts w:ascii="Calibri" w:hAnsi="Calibri"/>
          <w:snapToGrid w:val="0"/>
          <w:spacing w:val="-6"/>
          <w:sz w:val="26"/>
          <w:szCs w:val="26"/>
        </w:rPr>
        <w:t>серпні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w:t>
      </w:r>
      <w:r w:rsidR="00D820BF" w:rsidRPr="008D1F25">
        <w:rPr>
          <w:rFonts w:ascii="Calibri" w:hAnsi="Calibri"/>
          <w:snapToGrid w:val="0"/>
          <w:spacing w:val="-6"/>
          <w:sz w:val="26"/>
          <w:szCs w:val="26"/>
        </w:rPr>
        <w:t xml:space="preserve">товарів становив </w:t>
      </w:r>
      <w:r w:rsidR="009C18AF">
        <w:rPr>
          <w:rFonts w:ascii="Calibri" w:hAnsi="Calibri"/>
          <w:snapToGrid w:val="0"/>
          <w:spacing w:val="-6"/>
          <w:sz w:val="26"/>
          <w:szCs w:val="26"/>
        </w:rPr>
        <w:t>880348,8</w:t>
      </w:r>
      <w:r w:rsidR="0072336F" w:rsidRPr="008D1F25">
        <w:rPr>
          <w:rFonts w:ascii="Calibri" w:hAnsi="Calibri"/>
          <w:snapToGrid w:val="0"/>
          <w:spacing w:val="-6"/>
          <w:sz w:val="26"/>
          <w:szCs w:val="26"/>
        </w:rPr>
        <w:t xml:space="preserve"> </w:t>
      </w:r>
      <w:proofErr w:type="spellStart"/>
      <w:r w:rsidR="00E169A0" w:rsidRPr="008D1F25">
        <w:rPr>
          <w:rFonts w:ascii="Calibri" w:hAnsi="Calibri"/>
          <w:snapToGrid w:val="0"/>
          <w:spacing w:val="-6"/>
          <w:sz w:val="26"/>
          <w:szCs w:val="26"/>
        </w:rPr>
        <w:t>тис</w:t>
      </w:r>
      <w:r w:rsidR="00D820BF" w:rsidRPr="008D1F25">
        <w:rPr>
          <w:rFonts w:ascii="Calibri" w:hAnsi="Calibri"/>
          <w:snapToGrid w:val="0"/>
          <w:spacing w:val="-6"/>
          <w:sz w:val="26"/>
          <w:szCs w:val="26"/>
        </w:rPr>
        <w:t>.дол</w:t>
      </w:r>
      <w:proofErr w:type="spellEnd"/>
      <w:r w:rsidR="00D820BF" w:rsidRPr="008D1F25">
        <w:rPr>
          <w:rFonts w:ascii="Calibri" w:hAnsi="Calibri"/>
          <w:snapToGrid w:val="0"/>
          <w:spacing w:val="-6"/>
          <w:sz w:val="26"/>
          <w:szCs w:val="26"/>
        </w:rPr>
        <w:t xml:space="preserve">. США, </w:t>
      </w:r>
      <w:r w:rsidR="00691B9D" w:rsidRPr="009C18AF">
        <w:rPr>
          <w:rFonts w:ascii="Calibri" w:hAnsi="Calibri"/>
          <w:snapToGrid w:val="0"/>
          <w:spacing w:val="-6"/>
          <w:sz w:val="26"/>
          <w:szCs w:val="26"/>
        </w:rPr>
        <w:t xml:space="preserve">або </w:t>
      </w:r>
      <w:r w:rsidR="008D1F25" w:rsidRPr="009C18AF">
        <w:rPr>
          <w:rFonts w:ascii="Calibri" w:hAnsi="Calibri"/>
          <w:snapToGrid w:val="0"/>
          <w:spacing w:val="-6"/>
          <w:sz w:val="26"/>
          <w:szCs w:val="26"/>
        </w:rPr>
        <w:t>97</w:t>
      </w:r>
      <w:r w:rsidR="00BA4208" w:rsidRPr="009C18AF">
        <w:rPr>
          <w:rFonts w:ascii="Calibri" w:hAnsi="Calibri"/>
          <w:snapToGrid w:val="0"/>
          <w:spacing w:val="-6"/>
          <w:sz w:val="26"/>
          <w:szCs w:val="26"/>
        </w:rPr>
        <w:t>,</w:t>
      </w:r>
      <w:r w:rsidR="009C18AF" w:rsidRPr="009C18AF">
        <w:rPr>
          <w:rFonts w:ascii="Calibri" w:hAnsi="Calibri"/>
          <w:snapToGrid w:val="0"/>
          <w:spacing w:val="-6"/>
          <w:sz w:val="26"/>
          <w:szCs w:val="26"/>
        </w:rPr>
        <w:t>6</w:t>
      </w:r>
      <w:r w:rsidR="00691B9D" w:rsidRPr="009C18AF">
        <w:rPr>
          <w:rFonts w:ascii="Calibri" w:hAnsi="Calibri"/>
          <w:snapToGrid w:val="0"/>
          <w:spacing w:val="-6"/>
          <w:sz w:val="26"/>
          <w:szCs w:val="26"/>
        </w:rPr>
        <w:t>%</w:t>
      </w:r>
      <w:r w:rsidR="00B5030D" w:rsidRPr="008D1F25">
        <w:rPr>
          <w:rFonts w:ascii="Calibri" w:hAnsi="Calibri"/>
          <w:snapToGrid w:val="0"/>
          <w:spacing w:val="-6"/>
          <w:sz w:val="26"/>
          <w:szCs w:val="26"/>
        </w:rPr>
        <w:t xml:space="preserve"> </w:t>
      </w:r>
      <w:r w:rsidR="00B5030D" w:rsidRPr="008D1F25">
        <w:rPr>
          <w:rFonts w:asciiTheme="minorHAnsi" w:hAnsiTheme="minorHAnsi" w:cstheme="minorHAnsi"/>
          <w:snapToGrid w:val="0"/>
          <w:sz w:val="26"/>
          <w:szCs w:val="26"/>
        </w:rPr>
        <w:t xml:space="preserve">порівняно із </w:t>
      </w:r>
      <w:r w:rsidR="002A4375" w:rsidRPr="008D1F25">
        <w:rPr>
          <w:rFonts w:asciiTheme="minorHAnsi" w:hAnsiTheme="minorHAnsi" w:cstheme="minorHAnsi"/>
          <w:snapToGrid w:val="0"/>
          <w:sz w:val="26"/>
          <w:szCs w:val="26"/>
        </w:rPr>
        <w:t>січнем</w:t>
      </w:r>
      <w:r w:rsidR="00632A51" w:rsidRPr="008D1F25">
        <w:rPr>
          <w:rFonts w:asciiTheme="minorHAnsi" w:hAnsiTheme="minorHAnsi" w:cstheme="minorHAnsi"/>
          <w:snapToGrid w:val="0"/>
          <w:sz w:val="26"/>
          <w:szCs w:val="26"/>
        </w:rPr>
        <w:t>–</w:t>
      </w:r>
      <w:r w:rsidR="005D33AF">
        <w:rPr>
          <w:rFonts w:asciiTheme="minorHAnsi" w:hAnsiTheme="minorHAnsi" w:cstheme="minorHAnsi"/>
          <w:snapToGrid w:val="0"/>
          <w:sz w:val="26"/>
          <w:szCs w:val="26"/>
        </w:rPr>
        <w:t>серпнем</w:t>
      </w:r>
      <w:r w:rsidR="002A4375" w:rsidRPr="008D1F25">
        <w:rPr>
          <w:rFonts w:asciiTheme="minorHAnsi" w:hAnsiTheme="minorHAnsi" w:cstheme="minorHAnsi"/>
          <w:snapToGrid w:val="0"/>
          <w:sz w:val="26"/>
          <w:szCs w:val="26"/>
        </w:rPr>
        <w:t xml:space="preserve"> 2019 р.</w:t>
      </w:r>
      <w:r w:rsidR="00691B9D" w:rsidRPr="008D1F25">
        <w:rPr>
          <w:rFonts w:asciiTheme="minorHAnsi" w:hAnsiTheme="minorHAnsi" w:cstheme="minorHAnsi"/>
          <w:snapToGrid w:val="0"/>
          <w:spacing w:val="-6"/>
          <w:sz w:val="26"/>
          <w:szCs w:val="26"/>
        </w:rPr>
        <w:t>,</w:t>
      </w:r>
      <w:r w:rsidR="00691B9D" w:rsidRPr="008D1F25">
        <w:rPr>
          <w:rFonts w:ascii="Calibri" w:hAnsi="Calibri"/>
          <w:snapToGrid w:val="0"/>
          <w:spacing w:val="-6"/>
          <w:sz w:val="26"/>
          <w:szCs w:val="26"/>
        </w:rPr>
        <w:t xml:space="preserve"> </w:t>
      </w:r>
      <w:r w:rsidR="00D820BF" w:rsidRPr="008D1F25">
        <w:rPr>
          <w:rFonts w:ascii="Calibri" w:hAnsi="Calibri"/>
          <w:snapToGrid w:val="0"/>
          <w:spacing w:val="-6"/>
          <w:sz w:val="26"/>
          <w:szCs w:val="26"/>
        </w:rPr>
        <w:t>імпорт</w:t>
      </w:r>
      <w:r w:rsidR="00691B9D" w:rsidRPr="008D1F25">
        <w:rPr>
          <w:rFonts w:ascii="Calibri" w:hAnsi="Calibri"/>
          <w:snapToGrid w:val="0"/>
          <w:spacing w:val="-6"/>
          <w:sz w:val="26"/>
          <w:szCs w:val="26"/>
        </w:rPr>
        <w:t xml:space="preserve"> </w:t>
      </w:r>
      <w:r w:rsidR="00D820BF" w:rsidRPr="008D1F25">
        <w:rPr>
          <w:rFonts w:ascii="Calibri" w:hAnsi="Calibri"/>
          <w:snapToGrid w:val="0"/>
          <w:spacing w:val="-6"/>
          <w:sz w:val="26"/>
          <w:szCs w:val="26"/>
        </w:rPr>
        <w:t>–</w:t>
      </w:r>
      <w:r w:rsidR="00DE30A6" w:rsidRPr="008D1F25">
        <w:rPr>
          <w:rFonts w:ascii="Calibri" w:hAnsi="Calibri"/>
          <w:snapToGrid w:val="0"/>
          <w:spacing w:val="-6"/>
          <w:sz w:val="26"/>
          <w:szCs w:val="26"/>
        </w:rPr>
        <w:t xml:space="preserve"> </w:t>
      </w:r>
      <w:r w:rsidR="009C18AF">
        <w:rPr>
          <w:rFonts w:ascii="Calibri" w:hAnsi="Calibri"/>
          <w:snapToGrid w:val="0"/>
          <w:spacing w:val="-6"/>
          <w:sz w:val="26"/>
          <w:szCs w:val="26"/>
        </w:rPr>
        <w:t xml:space="preserve">1117665,4 </w:t>
      </w:r>
      <w:r w:rsidR="00691B9D" w:rsidRPr="008D1F25">
        <w:rPr>
          <w:rFonts w:ascii="Calibri" w:hAnsi="Calibri"/>
          <w:snapToGrid w:val="0"/>
          <w:spacing w:val="-6"/>
          <w:sz w:val="26"/>
          <w:szCs w:val="26"/>
        </w:rPr>
        <w:t>тис</w:t>
      </w:r>
      <w:r w:rsidR="00D820BF" w:rsidRPr="009C18AF">
        <w:rPr>
          <w:rFonts w:ascii="Calibri" w:hAnsi="Calibri"/>
          <w:snapToGrid w:val="0"/>
          <w:spacing w:val="-6"/>
          <w:sz w:val="26"/>
          <w:szCs w:val="26"/>
        </w:rPr>
        <w:t>.дол.</w:t>
      </w:r>
      <w:r w:rsidR="00495A4A" w:rsidRPr="009C18AF">
        <w:rPr>
          <w:rFonts w:ascii="Calibri" w:hAnsi="Calibri"/>
          <w:snapToGrid w:val="0"/>
          <w:spacing w:val="-6"/>
          <w:sz w:val="26"/>
          <w:szCs w:val="26"/>
          <w:vertAlign w:val="superscript"/>
        </w:rPr>
        <w:t>1</w:t>
      </w:r>
      <w:r w:rsidR="00691B9D" w:rsidRPr="009C18AF">
        <w:rPr>
          <w:rFonts w:ascii="Calibri" w:hAnsi="Calibri"/>
          <w:snapToGrid w:val="0"/>
          <w:spacing w:val="-6"/>
          <w:sz w:val="26"/>
          <w:szCs w:val="26"/>
        </w:rPr>
        <w:t xml:space="preserve">, або </w:t>
      </w:r>
      <w:r w:rsidR="0072336F" w:rsidRPr="009C18AF">
        <w:rPr>
          <w:rFonts w:ascii="Calibri" w:hAnsi="Calibri"/>
          <w:snapToGrid w:val="0"/>
          <w:spacing w:val="-6"/>
          <w:sz w:val="26"/>
          <w:szCs w:val="26"/>
        </w:rPr>
        <w:t>9</w:t>
      </w:r>
      <w:r w:rsidR="009C18AF" w:rsidRPr="009C18AF">
        <w:rPr>
          <w:rFonts w:ascii="Calibri" w:hAnsi="Calibri"/>
          <w:snapToGrid w:val="0"/>
          <w:spacing w:val="-6"/>
          <w:sz w:val="26"/>
          <w:szCs w:val="26"/>
        </w:rPr>
        <w:t>9</w:t>
      </w:r>
      <w:r w:rsidR="0072336F" w:rsidRPr="009C18AF">
        <w:rPr>
          <w:rFonts w:ascii="Calibri" w:hAnsi="Calibri"/>
          <w:snapToGrid w:val="0"/>
          <w:spacing w:val="-6"/>
          <w:sz w:val="26"/>
          <w:szCs w:val="26"/>
        </w:rPr>
        <w:t>,</w:t>
      </w:r>
      <w:r w:rsidR="009C18AF" w:rsidRPr="009C18AF">
        <w:rPr>
          <w:rFonts w:ascii="Calibri" w:hAnsi="Calibri"/>
          <w:snapToGrid w:val="0"/>
          <w:spacing w:val="-6"/>
          <w:sz w:val="26"/>
          <w:szCs w:val="26"/>
        </w:rPr>
        <w:t>6</w:t>
      </w:r>
      <w:r w:rsidR="00691B9D" w:rsidRPr="009C18AF">
        <w:rPr>
          <w:rFonts w:ascii="Calibri" w:hAnsi="Calibri"/>
          <w:snapToGrid w:val="0"/>
          <w:spacing w:val="-6"/>
          <w:sz w:val="26"/>
          <w:szCs w:val="26"/>
        </w:rPr>
        <w:t>%.</w:t>
      </w:r>
      <w:r w:rsidR="00443093" w:rsidRPr="008D1F25">
        <w:rPr>
          <w:rFonts w:ascii="Calibri" w:hAnsi="Calibri"/>
          <w:snapToGrid w:val="0"/>
          <w:sz w:val="26"/>
          <w:szCs w:val="26"/>
        </w:rPr>
        <w:t xml:space="preserve"> </w:t>
      </w:r>
      <w:r w:rsidR="009125D2" w:rsidRPr="008D1F25">
        <w:rPr>
          <w:rFonts w:ascii="Calibri" w:hAnsi="Calibri"/>
          <w:snapToGrid w:val="0"/>
          <w:sz w:val="26"/>
          <w:szCs w:val="26"/>
        </w:rPr>
        <w:br/>
      </w:r>
      <w:r w:rsidR="00473502" w:rsidRPr="008D1F25">
        <w:rPr>
          <w:rFonts w:ascii="Calibri" w:hAnsi="Calibri"/>
          <w:snapToGrid w:val="0"/>
          <w:sz w:val="26"/>
          <w:szCs w:val="26"/>
        </w:rPr>
        <w:t>Негативне</w:t>
      </w:r>
      <w:r w:rsidR="00D820BF" w:rsidRPr="008D1F25">
        <w:rPr>
          <w:rFonts w:ascii="Calibri" w:hAnsi="Calibri"/>
          <w:snapToGrid w:val="0"/>
          <w:sz w:val="26"/>
          <w:szCs w:val="26"/>
        </w:rPr>
        <w:t xml:space="preserve"> сальдо становило </w:t>
      </w:r>
      <w:r w:rsidR="009C18AF">
        <w:rPr>
          <w:rFonts w:ascii="Calibri" w:hAnsi="Calibri"/>
          <w:snapToGrid w:val="0"/>
          <w:sz w:val="26"/>
          <w:szCs w:val="26"/>
        </w:rPr>
        <w:t>237316,6</w:t>
      </w:r>
      <w:r w:rsidR="0072336F" w:rsidRPr="0077719E">
        <w:rPr>
          <w:rFonts w:ascii="Calibri" w:hAnsi="Calibri"/>
          <w:snapToGrid w:val="0"/>
          <w:sz w:val="26"/>
          <w:szCs w:val="26"/>
        </w:rPr>
        <w:t xml:space="preserve">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r w:rsidR="00495A4A" w:rsidRPr="0077719E">
        <w:rPr>
          <w:rFonts w:ascii="Calibri" w:hAnsi="Calibri"/>
          <w:snapToGrid w:val="0"/>
          <w:spacing w:val="-6"/>
          <w:sz w:val="26"/>
          <w:szCs w:val="26"/>
          <w:vertAlign w:val="superscript"/>
        </w:rPr>
        <w:t>1</w:t>
      </w:r>
      <w:r w:rsidR="00D820BF" w:rsidRPr="0077719E">
        <w:rPr>
          <w:rFonts w:ascii="Calibri" w:hAnsi="Calibri"/>
          <w:snapToGrid w:val="0"/>
          <w:sz w:val="26"/>
          <w:szCs w:val="26"/>
        </w:rPr>
        <w:t xml:space="preserve"> (</w:t>
      </w:r>
      <w:r w:rsidRPr="0077719E">
        <w:rPr>
          <w:rFonts w:ascii="Calibri" w:hAnsi="Calibri"/>
          <w:snapToGrid w:val="0"/>
          <w:sz w:val="26"/>
          <w:szCs w:val="26"/>
        </w:rPr>
        <w:t>у</w:t>
      </w:r>
      <w:r w:rsidR="007D0D60" w:rsidRPr="0077719E">
        <w:rPr>
          <w:rFonts w:ascii="Calibri" w:hAnsi="Calibri"/>
          <w:snapToGrid w:val="0"/>
          <w:sz w:val="26"/>
          <w:szCs w:val="26"/>
        </w:rPr>
        <w:t xml:space="preserve"> </w:t>
      </w:r>
      <w:r w:rsidR="001E3643" w:rsidRPr="0077719E">
        <w:rPr>
          <w:rFonts w:ascii="Calibri" w:hAnsi="Calibri"/>
          <w:snapToGrid w:val="0"/>
          <w:sz w:val="26"/>
          <w:szCs w:val="26"/>
        </w:rPr>
        <w:t>січні</w:t>
      </w:r>
      <w:r w:rsidR="00632A51" w:rsidRPr="0077719E">
        <w:rPr>
          <w:rFonts w:ascii="Calibri" w:hAnsi="Calibri"/>
          <w:snapToGrid w:val="0"/>
          <w:sz w:val="26"/>
          <w:szCs w:val="26"/>
        </w:rPr>
        <w:t>–</w:t>
      </w:r>
      <w:r w:rsidR="005D33AF">
        <w:rPr>
          <w:rFonts w:ascii="Calibri" w:hAnsi="Calibri"/>
          <w:snapToGrid w:val="0"/>
          <w:sz w:val="26"/>
          <w:szCs w:val="26"/>
        </w:rPr>
        <w:t>серпні</w:t>
      </w:r>
      <w:r w:rsidR="001E3643" w:rsidRPr="0077719E">
        <w:rPr>
          <w:rFonts w:ascii="Calibri" w:hAnsi="Calibri"/>
          <w:snapToGrid w:val="0"/>
          <w:sz w:val="26"/>
          <w:szCs w:val="26"/>
        </w:rPr>
        <w:t xml:space="preserve"> </w:t>
      </w:r>
      <w:r w:rsidR="00D820BF" w:rsidRPr="0077719E">
        <w:rPr>
          <w:rFonts w:ascii="Calibri" w:hAnsi="Calibri"/>
          <w:snapToGrid w:val="0"/>
          <w:sz w:val="26"/>
          <w:szCs w:val="26"/>
        </w:rPr>
        <w:t>201</w:t>
      </w:r>
      <w:r w:rsidR="001E3643" w:rsidRPr="0077719E">
        <w:rPr>
          <w:rFonts w:ascii="Calibri" w:hAnsi="Calibri"/>
          <w:snapToGrid w:val="0"/>
          <w:sz w:val="26"/>
          <w:szCs w:val="26"/>
        </w:rPr>
        <w:t>9</w:t>
      </w:r>
      <w:r w:rsidR="0039323B" w:rsidRPr="0077719E">
        <w:rPr>
          <w:rFonts w:ascii="Calibri" w:hAnsi="Calibri"/>
          <w:snapToGrid w:val="0"/>
          <w:sz w:val="26"/>
          <w:szCs w:val="26"/>
        </w:rPr>
        <w:t xml:space="preserve"> </w:t>
      </w:r>
      <w:r w:rsidR="00D820BF" w:rsidRPr="0077719E">
        <w:rPr>
          <w:rFonts w:ascii="Calibri" w:hAnsi="Calibri"/>
          <w:snapToGrid w:val="0"/>
          <w:sz w:val="26"/>
          <w:szCs w:val="26"/>
        </w:rPr>
        <w:t>р.</w:t>
      </w:r>
      <w:r w:rsidR="00307B53" w:rsidRPr="0077719E">
        <w:rPr>
          <w:rFonts w:ascii="Calibri" w:hAnsi="Calibri"/>
          <w:snapToGrid w:val="0"/>
          <w:sz w:val="26"/>
          <w:szCs w:val="26"/>
        </w:rPr>
        <w:t xml:space="preserve"> </w:t>
      </w:r>
      <w:r w:rsidR="006C3920" w:rsidRPr="0077719E">
        <w:rPr>
          <w:rFonts w:ascii="Calibri" w:hAnsi="Calibri"/>
          <w:snapToGrid w:val="0"/>
          <w:sz w:val="26"/>
          <w:szCs w:val="26"/>
        </w:rPr>
        <w:t xml:space="preserve">також </w:t>
      </w:r>
      <w:r w:rsidR="00A517CE" w:rsidRPr="0077719E">
        <w:rPr>
          <w:rFonts w:ascii="Calibri" w:hAnsi="Calibri"/>
          <w:snapToGrid w:val="0"/>
          <w:sz w:val="26"/>
          <w:szCs w:val="26"/>
        </w:rPr>
        <w:br/>
      </w:r>
      <w:r w:rsidR="00473502" w:rsidRPr="00EF724F">
        <w:rPr>
          <w:rFonts w:ascii="Calibri" w:hAnsi="Calibri"/>
          <w:snapToGrid w:val="0"/>
          <w:sz w:val="26"/>
          <w:szCs w:val="26"/>
        </w:rPr>
        <w:t>негативне</w:t>
      </w:r>
      <w:r w:rsidR="00307B53" w:rsidRPr="00EF724F">
        <w:rPr>
          <w:rFonts w:ascii="Calibri" w:hAnsi="Calibri"/>
          <w:snapToGrid w:val="0"/>
          <w:sz w:val="26"/>
          <w:szCs w:val="26"/>
        </w:rPr>
        <w:t xml:space="preserve"> </w:t>
      </w:r>
      <w:r w:rsidRPr="00EF724F">
        <w:rPr>
          <w:rFonts w:ascii="Calibri" w:hAnsi="Calibri"/>
          <w:snapToGrid w:val="0"/>
          <w:sz w:val="26"/>
          <w:szCs w:val="26"/>
        </w:rPr>
        <w:t>–</w:t>
      </w:r>
      <w:r w:rsidR="002B0019" w:rsidRPr="00EF724F">
        <w:rPr>
          <w:rFonts w:ascii="Calibri" w:hAnsi="Calibri"/>
          <w:snapToGrid w:val="0"/>
          <w:sz w:val="26"/>
          <w:szCs w:val="26"/>
        </w:rPr>
        <w:t xml:space="preserve"> </w:t>
      </w:r>
      <w:r w:rsidR="009C18AF">
        <w:rPr>
          <w:rFonts w:ascii="Calibri" w:hAnsi="Calibri"/>
          <w:snapToGrid w:val="0"/>
          <w:sz w:val="26"/>
          <w:szCs w:val="26"/>
        </w:rPr>
        <w:t>220587,3</w:t>
      </w:r>
      <w:r w:rsidR="00752B23" w:rsidRPr="00EF724F">
        <w:rPr>
          <w:rFonts w:ascii="Calibri" w:hAnsi="Calibri"/>
          <w:snapToGrid w:val="0"/>
          <w:sz w:val="26"/>
          <w:szCs w:val="26"/>
        </w:rPr>
        <w:t xml:space="preserve"> </w:t>
      </w:r>
      <w:proofErr w:type="spellStart"/>
      <w:r w:rsidR="00691B9D" w:rsidRPr="00EF724F">
        <w:rPr>
          <w:rFonts w:ascii="Calibri" w:hAnsi="Calibri"/>
          <w:snapToGrid w:val="0"/>
          <w:sz w:val="26"/>
          <w:szCs w:val="26"/>
        </w:rPr>
        <w:t>тис</w:t>
      </w:r>
      <w:r w:rsidR="00D820BF" w:rsidRPr="004F78D3">
        <w:rPr>
          <w:rFonts w:ascii="Calibri" w:hAnsi="Calibri"/>
          <w:snapToGrid w:val="0"/>
          <w:sz w:val="26"/>
          <w:szCs w:val="26"/>
        </w:rPr>
        <w:t>.дол</w:t>
      </w:r>
      <w:proofErr w:type="spellEnd"/>
      <w:r w:rsidR="00D820BF" w:rsidRPr="004F78D3">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4F78D3">
        <w:rPr>
          <w:rFonts w:ascii="Calibri" w:hAnsi="Calibri"/>
          <w:spacing w:val="-6"/>
          <w:sz w:val="26"/>
          <w:szCs w:val="26"/>
        </w:rPr>
        <w:t xml:space="preserve">Коефіцієнт покриття експортом </w:t>
      </w:r>
      <w:r w:rsidRPr="009C18AF">
        <w:rPr>
          <w:rFonts w:ascii="Calibri" w:hAnsi="Calibri"/>
          <w:spacing w:val="-6"/>
          <w:sz w:val="26"/>
          <w:szCs w:val="26"/>
        </w:rPr>
        <w:t xml:space="preserve">імпорту склав </w:t>
      </w:r>
      <w:r w:rsidR="006679AC" w:rsidRPr="009C18AF">
        <w:rPr>
          <w:rFonts w:ascii="Calibri" w:hAnsi="Calibri"/>
          <w:spacing w:val="-6"/>
          <w:sz w:val="26"/>
          <w:szCs w:val="26"/>
        </w:rPr>
        <w:t>0,</w:t>
      </w:r>
      <w:r w:rsidR="009C18AF" w:rsidRPr="009C18AF">
        <w:rPr>
          <w:rFonts w:ascii="Calibri" w:hAnsi="Calibri"/>
          <w:spacing w:val="-6"/>
          <w:sz w:val="26"/>
          <w:szCs w:val="26"/>
        </w:rPr>
        <w:t>79</w:t>
      </w:r>
      <w:r w:rsidR="00376559" w:rsidRPr="009C18AF">
        <w:rPr>
          <w:rFonts w:ascii="Calibri" w:hAnsi="Calibri"/>
          <w:spacing w:val="-6"/>
          <w:sz w:val="26"/>
          <w:szCs w:val="26"/>
        </w:rPr>
        <w:t xml:space="preserve"> </w:t>
      </w:r>
      <w:r w:rsidRPr="009C18AF">
        <w:rPr>
          <w:rFonts w:ascii="Calibri" w:hAnsi="Calibri"/>
          <w:spacing w:val="-6"/>
          <w:sz w:val="26"/>
          <w:szCs w:val="26"/>
        </w:rPr>
        <w:t>(</w:t>
      </w:r>
      <w:r w:rsidR="00BA4ED4" w:rsidRPr="009C18AF">
        <w:rPr>
          <w:rFonts w:ascii="Calibri" w:hAnsi="Calibri"/>
          <w:spacing w:val="-6"/>
          <w:sz w:val="26"/>
          <w:szCs w:val="26"/>
        </w:rPr>
        <w:t>у</w:t>
      </w:r>
      <w:r w:rsidR="001E3643" w:rsidRPr="004F78D3">
        <w:rPr>
          <w:rFonts w:ascii="Calibri" w:hAnsi="Calibri"/>
          <w:spacing w:val="-6"/>
          <w:sz w:val="26"/>
          <w:szCs w:val="26"/>
        </w:rPr>
        <w:t xml:space="preserve"> січні</w:t>
      </w:r>
      <w:r w:rsidR="00632A51" w:rsidRPr="004F78D3">
        <w:rPr>
          <w:rFonts w:ascii="Calibri" w:hAnsi="Calibri"/>
          <w:spacing w:val="-6"/>
          <w:sz w:val="26"/>
          <w:szCs w:val="26"/>
        </w:rPr>
        <w:t>–</w:t>
      </w:r>
      <w:r w:rsidR="005D33AF">
        <w:rPr>
          <w:rFonts w:ascii="Calibri" w:hAnsi="Calibri"/>
          <w:spacing w:val="-6"/>
          <w:sz w:val="26"/>
          <w:szCs w:val="26"/>
        </w:rPr>
        <w:t>серпні</w:t>
      </w:r>
      <w:r w:rsidR="007D0D60" w:rsidRPr="004F78D3">
        <w:rPr>
          <w:rFonts w:ascii="Calibri" w:hAnsi="Calibri"/>
          <w:spacing w:val="-6"/>
          <w:sz w:val="26"/>
          <w:szCs w:val="26"/>
        </w:rPr>
        <w:t xml:space="preserve"> </w:t>
      </w:r>
      <w:r w:rsidRPr="00EF724F">
        <w:rPr>
          <w:rFonts w:ascii="Calibri" w:hAnsi="Calibri"/>
          <w:spacing w:val="-6"/>
          <w:sz w:val="26"/>
          <w:szCs w:val="26"/>
        </w:rPr>
        <w:t>201</w:t>
      </w:r>
      <w:r w:rsidR="001E3643" w:rsidRPr="00EF724F">
        <w:rPr>
          <w:rFonts w:ascii="Calibri" w:hAnsi="Calibri"/>
          <w:spacing w:val="-6"/>
          <w:sz w:val="26"/>
          <w:szCs w:val="26"/>
        </w:rPr>
        <w:t>9</w:t>
      </w:r>
      <w:r w:rsidR="0039323B" w:rsidRPr="00EF724F">
        <w:rPr>
          <w:rFonts w:ascii="Calibri" w:hAnsi="Calibri"/>
          <w:spacing w:val="-6"/>
          <w:sz w:val="26"/>
          <w:szCs w:val="26"/>
        </w:rPr>
        <w:t xml:space="preserve"> </w:t>
      </w:r>
      <w:r w:rsidRPr="00EF724F">
        <w:rPr>
          <w:rFonts w:ascii="Calibri" w:hAnsi="Calibri"/>
          <w:spacing w:val="-6"/>
          <w:sz w:val="26"/>
          <w:szCs w:val="26"/>
        </w:rPr>
        <w:t xml:space="preserve">р. </w:t>
      </w:r>
      <w:r w:rsidR="004905E3">
        <w:rPr>
          <w:rFonts w:ascii="Calibri" w:hAnsi="Calibri"/>
          <w:spacing w:val="-6"/>
          <w:sz w:val="26"/>
          <w:szCs w:val="26"/>
        </w:rPr>
        <w:br/>
        <w:t xml:space="preserve">також </w:t>
      </w:r>
      <w:r w:rsidRPr="005D33AF">
        <w:rPr>
          <w:rFonts w:ascii="Calibri" w:hAnsi="Calibri"/>
          <w:spacing w:val="-6"/>
          <w:sz w:val="26"/>
          <w:szCs w:val="26"/>
        </w:rPr>
        <w:t xml:space="preserve">– </w:t>
      </w:r>
      <w:r w:rsidR="006679AC" w:rsidRPr="005D33AF">
        <w:rPr>
          <w:rFonts w:ascii="Calibri" w:hAnsi="Calibri"/>
          <w:spacing w:val="-6"/>
          <w:sz w:val="26"/>
          <w:szCs w:val="26"/>
        </w:rPr>
        <w:t>0,</w:t>
      </w:r>
      <w:r w:rsidR="00EF724F" w:rsidRPr="005D33AF">
        <w:rPr>
          <w:rFonts w:ascii="Calibri" w:hAnsi="Calibri"/>
          <w:spacing w:val="-6"/>
          <w:sz w:val="26"/>
          <w:szCs w:val="26"/>
        </w:rPr>
        <w:t>80</w:t>
      </w:r>
      <w:r w:rsidRPr="005D33AF">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w:t>
      </w:r>
      <w:r w:rsidRPr="00E16989">
        <w:rPr>
          <w:rFonts w:ascii="Calibri" w:eastAsia="Calibri" w:hAnsi="Calibri"/>
          <w:sz w:val="26"/>
          <w:szCs w:val="26"/>
          <w:lang w:eastAsia="en-US"/>
        </w:rPr>
        <w:t xml:space="preserve">партнерами із </w:t>
      </w:r>
      <w:r w:rsidR="003B7C6D" w:rsidRPr="00E16989">
        <w:rPr>
          <w:rFonts w:ascii="Calibri" w:eastAsia="Calibri" w:hAnsi="Calibri"/>
          <w:sz w:val="26"/>
          <w:szCs w:val="26"/>
          <w:lang w:eastAsia="en-US"/>
        </w:rPr>
        <w:t>1</w:t>
      </w:r>
      <w:r w:rsidR="00E16989" w:rsidRPr="00E16989">
        <w:rPr>
          <w:rFonts w:ascii="Calibri" w:eastAsia="Calibri" w:hAnsi="Calibri"/>
          <w:sz w:val="26"/>
          <w:szCs w:val="26"/>
          <w:lang w:eastAsia="en-US"/>
        </w:rPr>
        <w:t>54</w:t>
      </w:r>
      <w:r w:rsidRPr="00E16989">
        <w:rPr>
          <w:rFonts w:ascii="Calibri" w:eastAsia="Calibri" w:hAnsi="Calibri"/>
          <w:sz w:val="26"/>
          <w:szCs w:val="26"/>
          <w:lang w:eastAsia="en-US"/>
        </w:rPr>
        <w:t xml:space="preserve"> країн</w:t>
      </w:r>
      <w:r w:rsidRPr="0077719E">
        <w:rPr>
          <w:rFonts w:ascii="Calibri" w:eastAsia="Calibri" w:hAnsi="Calibri"/>
          <w:sz w:val="26"/>
          <w:szCs w:val="26"/>
          <w:lang w:eastAsia="en-US"/>
        </w:rPr>
        <w:t xml:space="preserve"> світу.</w:t>
      </w:r>
    </w:p>
    <w:p w:rsidR="007A4065" w:rsidRPr="0077719E" w:rsidRDefault="007A4065" w:rsidP="0039323B">
      <w:pPr>
        <w:ind w:firstLine="709"/>
        <w:jc w:val="both"/>
        <w:rPr>
          <w:rFonts w:ascii="Calibri" w:eastAsia="Calibri" w:hAnsi="Calibri"/>
          <w:sz w:val="26"/>
          <w:szCs w:val="26"/>
          <w:lang w:eastAsia="en-US"/>
        </w:rPr>
      </w:pPr>
    </w:p>
    <w:p w:rsidR="0004047A" w:rsidRPr="0077719E" w:rsidRDefault="0004047A" w:rsidP="007A4065">
      <w:pPr>
        <w:jc w:val="center"/>
        <w:rPr>
          <w:rFonts w:ascii="Calibri" w:eastAsia="Calibri" w:hAnsi="Calibri"/>
          <w:b/>
          <w:spacing w:val="-6"/>
          <w:sz w:val="20"/>
          <w:szCs w:val="20"/>
          <w:lang w:eastAsia="en-US"/>
        </w:rPr>
      </w:pPr>
      <w:r w:rsidRPr="0077719E">
        <w:rPr>
          <w:rFonts w:ascii="Calibri" w:eastAsia="Calibri" w:hAnsi="Calibri"/>
          <w:b/>
          <w:spacing w:val="-6"/>
          <w:sz w:val="20"/>
          <w:szCs w:val="20"/>
          <w:lang w:eastAsia="en-US"/>
        </w:rPr>
        <w:t>Темпи зростання (зниження) експорту товарів</w:t>
      </w:r>
      <w:r w:rsidRPr="0077719E">
        <w:rPr>
          <w:rFonts w:ascii="Calibri" w:eastAsia="Calibri" w:hAnsi="Calibri"/>
          <w:spacing w:val="-6"/>
          <w:sz w:val="20"/>
          <w:szCs w:val="20"/>
          <w:lang w:eastAsia="en-US"/>
        </w:rPr>
        <w:t xml:space="preserve"> </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w:t>
      </w:r>
      <w:r w:rsidRPr="0077719E">
        <w:rPr>
          <w:rFonts w:ascii="Calibri" w:eastAsia="Calibri" w:hAnsi="Calibri"/>
          <w:b/>
          <w:spacing w:val="-6"/>
          <w:sz w:val="20"/>
          <w:szCs w:val="20"/>
          <w:lang w:eastAsia="en-US"/>
        </w:rPr>
        <w:t>Темпи зростання (зниження) імпорту товарів</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(у % до відповідного періоду попереднього року,</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наростаючим підсумком)</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77719E" w:rsidRDefault="004229AB" w:rsidP="0004047A">
      <w:pPr>
        <w:jc w:val="both"/>
        <w:rPr>
          <w:rFonts w:ascii="Calibri" w:eastAsia="Calibri" w:hAnsi="Calibri"/>
          <w:i/>
          <w:spacing w:val="-6"/>
          <w:sz w:val="20"/>
          <w:szCs w:val="20"/>
          <w:lang w:eastAsia="en-US"/>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B8138C" w:rsidRPr="0077719E" w:rsidRDefault="00B8138C" w:rsidP="00BC06A7">
      <w:pPr>
        <w:jc w:val="center"/>
        <w:rPr>
          <w:noProof/>
          <w:sz w:val="22"/>
          <w:szCs w:val="22"/>
          <w:lang w:eastAsia="uk-UA"/>
        </w:rPr>
      </w:pPr>
      <w:bookmarkStart w:id="1" w:name="_GoBack"/>
      <w:bookmarkEnd w:id="1"/>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5D33AF">
        <w:rPr>
          <w:rFonts w:ascii="Calibri" w:hAnsi="Calibri"/>
          <w:b/>
        </w:rPr>
        <w:t>серпні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D33AF">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5D33AF">
              <w:rPr>
                <w:rFonts w:ascii="Calibri" w:hAnsi="Calibri"/>
                <w:bCs/>
                <w:spacing w:val="-6"/>
                <w:sz w:val="20"/>
                <w:szCs w:val="20"/>
              </w:rPr>
              <w:t>серпня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5D33AF" w:rsidP="004F78D3">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B82A4E" w:rsidRPr="0077719E" w:rsidTr="00DD16D8">
        <w:trPr>
          <w:trHeight w:val="20"/>
        </w:trPr>
        <w:tc>
          <w:tcPr>
            <w:tcW w:w="1065" w:type="pct"/>
            <w:tcBorders>
              <w:top w:val="single" w:sz="4" w:space="0" w:color="auto"/>
            </w:tcBorders>
            <w:shd w:val="clear" w:color="auto" w:fill="auto"/>
            <w:vAlign w:val="bottom"/>
          </w:tcPr>
          <w:p w:rsidR="00B82A4E" w:rsidRPr="0077719E" w:rsidRDefault="00B82A4E"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880348,8</w:t>
            </w:r>
          </w:p>
        </w:tc>
        <w:tc>
          <w:tcPr>
            <w:tcW w:w="557"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97,6</w:t>
            </w:r>
          </w:p>
        </w:tc>
        <w:tc>
          <w:tcPr>
            <w:tcW w:w="595"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 </w:t>
            </w:r>
            <w:r w:rsidR="004C1435" w:rsidRPr="00DD16D8">
              <w:rPr>
                <w:rFonts w:asciiTheme="minorHAnsi" w:hAnsiTheme="minorHAnsi" w:cstheme="minorHAnsi"/>
                <w:b/>
                <w:bCs/>
                <w:sz w:val="20"/>
                <w:szCs w:val="20"/>
              </w:rPr>
              <w:t>100,0</w:t>
            </w:r>
          </w:p>
        </w:tc>
        <w:tc>
          <w:tcPr>
            <w:tcW w:w="597"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1117665,4</w:t>
            </w:r>
          </w:p>
        </w:tc>
        <w:tc>
          <w:tcPr>
            <w:tcW w:w="466"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99,6</w:t>
            </w:r>
          </w:p>
        </w:tc>
        <w:tc>
          <w:tcPr>
            <w:tcW w:w="526" w:type="pct"/>
            <w:tcBorders>
              <w:top w:val="single" w:sz="4" w:space="0" w:color="auto"/>
            </w:tcBorders>
            <w:shd w:val="clear" w:color="auto" w:fill="auto"/>
            <w:vAlign w:val="bottom"/>
          </w:tcPr>
          <w:p w:rsidR="00B82A4E" w:rsidRPr="00DD16D8" w:rsidRDefault="00B82A4E"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 </w:t>
            </w:r>
            <w:r w:rsidR="004C1435" w:rsidRPr="00DD16D8">
              <w:rPr>
                <w:rFonts w:asciiTheme="minorHAnsi" w:hAnsiTheme="minorHAnsi" w:cstheme="minorHAnsi"/>
                <w:b/>
                <w:bCs/>
                <w:sz w:val="20"/>
                <w:szCs w:val="20"/>
              </w:rPr>
              <w:t>100,0</w:t>
            </w:r>
          </w:p>
        </w:tc>
        <w:tc>
          <w:tcPr>
            <w:tcW w:w="617" w:type="pct"/>
            <w:tcBorders>
              <w:top w:val="single" w:sz="4" w:space="0" w:color="auto"/>
            </w:tcBorders>
            <w:shd w:val="clear" w:color="auto" w:fill="auto"/>
            <w:vAlign w:val="bottom"/>
          </w:tcPr>
          <w:p w:rsidR="00B82A4E" w:rsidRPr="00DD16D8" w:rsidRDefault="00DD16D8" w:rsidP="00DD16D8">
            <w:pPr>
              <w:jc w:val="right"/>
              <w:rPr>
                <w:rFonts w:asciiTheme="minorHAnsi" w:hAnsiTheme="minorHAnsi" w:cstheme="minorHAnsi"/>
                <w:b/>
                <w:bCs/>
                <w:sz w:val="20"/>
                <w:szCs w:val="20"/>
              </w:rPr>
            </w:pPr>
            <w:r>
              <w:rPr>
                <w:rFonts w:asciiTheme="minorHAnsi" w:hAnsiTheme="minorHAnsi" w:cstheme="minorHAnsi"/>
                <w:b/>
                <w:bCs/>
                <w:sz w:val="20"/>
                <w:szCs w:val="20"/>
              </w:rPr>
              <w:t>–</w:t>
            </w:r>
            <w:r w:rsidR="00B82A4E" w:rsidRPr="00DD16D8">
              <w:rPr>
                <w:rFonts w:asciiTheme="minorHAnsi" w:hAnsiTheme="minorHAnsi" w:cstheme="minorHAnsi"/>
                <w:b/>
                <w:bCs/>
                <w:sz w:val="20"/>
                <w:szCs w:val="20"/>
              </w:rPr>
              <w:t>237316,6</w:t>
            </w:r>
          </w:p>
        </w:tc>
      </w:tr>
      <w:tr w:rsidR="0077719E" w:rsidRPr="0077719E" w:rsidTr="00DD16D8">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DD16D8" w:rsidRDefault="008450F6" w:rsidP="00DD16D8">
            <w:pPr>
              <w:spacing w:line="240" w:lineRule="exact"/>
              <w:jc w:val="right"/>
              <w:rPr>
                <w:rFonts w:asciiTheme="minorHAnsi" w:hAnsiTheme="minorHAnsi" w:cstheme="minorHAnsi"/>
                <w:sz w:val="20"/>
                <w:szCs w:val="20"/>
              </w:rPr>
            </w:pPr>
          </w:p>
        </w:tc>
      </w:tr>
      <w:tr w:rsidR="00B82A4E" w:rsidRPr="007D7FBC" w:rsidTr="00DD16D8">
        <w:trPr>
          <w:trHeight w:val="20"/>
        </w:trPr>
        <w:tc>
          <w:tcPr>
            <w:tcW w:w="1065" w:type="pct"/>
            <w:shd w:val="clear" w:color="auto" w:fill="auto"/>
            <w:vAlign w:val="bottom"/>
          </w:tcPr>
          <w:p w:rsidR="00B82A4E" w:rsidRPr="007D7FBC" w:rsidRDefault="00B82A4E" w:rsidP="00B835F3">
            <w:pPr>
              <w:spacing w:line="220" w:lineRule="exact"/>
              <w:ind w:left="142"/>
              <w:rPr>
                <w:rFonts w:asciiTheme="minorHAnsi" w:hAnsiTheme="minorHAnsi"/>
                <w:snapToGrid w:val="0"/>
                <w:sz w:val="20"/>
                <w:szCs w:val="20"/>
              </w:rPr>
            </w:pPr>
            <w:r w:rsidRPr="007D7FBC">
              <w:rPr>
                <w:rFonts w:asciiTheme="minorHAnsi" w:hAnsiTheme="minorHAnsi"/>
                <w:snapToGrid w:val="0"/>
                <w:sz w:val="20"/>
                <w:szCs w:val="20"/>
              </w:rPr>
              <w:t>Австралія</w:t>
            </w:r>
          </w:p>
        </w:tc>
        <w:tc>
          <w:tcPr>
            <w:tcW w:w="57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1548,6</w:t>
            </w:r>
          </w:p>
        </w:tc>
        <w:tc>
          <w:tcPr>
            <w:tcW w:w="55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76,0</w:t>
            </w:r>
          </w:p>
        </w:tc>
        <w:tc>
          <w:tcPr>
            <w:tcW w:w="595"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4C1435" w:rsidRPr="00DD16D8">
              <w:rPr>
                <w:rFonts w:asciiTheme="minorHAnsi" w:hAnsiTheme="minorHAnsi" w:cstheme="minorHAnsi"/>
                <w:bCs/>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987,4</w:t>
            </w:r>
          </w:p>
        </w:tc>
        <w:tc>
          <w:tcPr>
            <w:tcW w:w="46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190,3</w:t>
            </w:r>
          </w:p>
        </w:tc>
        <w:tc>
          <w:tcPr>
            <w:tcW w:w="52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E634EB" w:rsidRPr="00DD16D8">
              <w:rPr>
                <w:rFonts w:asciiTheme="minorHAnsi" w:hAnsiTheme="minorHAnsi" w:cstheme="minorHAnsi"/>
                <w:bCs/>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561,3</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Австрія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1980,4</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187,8</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4C1435"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10459,2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96,2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0,9</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8478,8</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Азербайджан</w:t>
            </w:r>
          </w:p>
        </w:tc>
        <w:tc>
          <w:tcPr>
            <w:tcW w:w="57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15730,8</w:t>
            </w:r>
          </w:p>
        </w:tc>
        <w:tc>
          <w:tcPr>
            <w:tcW w:w="55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143,0</w:t>
            </w:r>
          </w:p>
        </w:tc>
        <w:tc>
          <w:tcPr>
            <w:tcW w:w="595"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4C1435" w:rsidRPr="00DD16D8">
              <w:rPr>
                <w:rFonts w:asciiTheme="minorHAnsi" w:hAnsiTheme="minorHAnsi" w:cstheme="minorHAnsi"/>
                <w:bCs/>
                <w:sz w:val="20"/>
                <w:szCs w:val="20"/>
              </w:rPr>
              <w:t>1,8</w:t>
            </w:r>
          </w:p>
        </w:tc>
        <w:tc>
          <w:tcPr>
            <w:tcW w:w="59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941,2</w:t>
            </w:r>
          </w:p>
        </w:tc>
        <w:tc>
          <w:tcPr>
            <w:tcW w:w="46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52,9</w:t>
            </w:r>
          </w:p>
        </w:tc>
        <w:tc>
          <w:tcPr>
            <w:tcW w:w="52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E634EB" w:rsidRPr="00DD16D8">
              <w:rPr>
                <w:rFonts w:asciiTheme="minorHAnsi" w:hAnsiTheme="minorHAnsi" w:cstheme="minorHAnsi"/>
                <w:bCs/>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14789,6</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Алжир</w:t>
            </w:r>
          </w:p>
        </w:tc>
        <w:tc>
          <w:tcPr>
            <w:tcW w:w="57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2223,7</w:t>
            </w:r>
          </w:p>
        </w:tc>
        <w:tc>
          <w:tcPr>
            <w:tcW w:w="55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55,7</w:t>
            </w:r>
          </w:p>
        </w:tc>
        <w:tc>
          <w:tcPr>
            <w:tcW w:w="595"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4C1435" w:rsidRPr="00DD16D8">
              <w:rPr>
                <w:rFonts w:asciiTheme="minorHAnsi" w:hAnsiTheme="minorHAnsi" w:cstheme="minorHAnsi"/>
                <w:bCs/>
                <w:sz w:val="20"/>
                <w:szCs w:val="20"/>
              </w:rPr>
              <w:t>0,3</w:t>
            </w:r>
          </w:p>
        </w:tc>
        <w:tc>
          <w:tcPr>
            <w:tcW w:w="597" w:type="pct"/>
            <w:shd w:val="clear" w:color="auto" w:fill="auto"/>
            <w:vAlign w:val="bottom"/>
          </w:tcPr>
          <w:p w:rsidR="00B82A4E" w:rsidRPr="00DD16D8" w:rsidRDefault="00DD16D8" w:rsidP="00DD16D8">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B82A4E" w:rsidRPr="00DD16D8" w:rsidRDefault="00DD16D8" w:rsidP="00DD16D8">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E634EB" w:rsidRPr="00DD16D8">
              <w:rPr>
                <w:rFonts w:asciiTheme="minorHAnsi" w:hAnsiTheme="minorHAnsi" w:cstheme="minorHAnsi"/>
                <w:bCs/>
                <w:sz w:val="20"/>
                <w:szCs w:val="20"/>
              </w:rPr>
              <w:t>–</w:t>
            </w:r>
          </w:p>
        </w:tc>
        <w:tc>
          <w:tcPr>
            <w:tcW w:w="61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2223,7</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Аргентина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4C1435" w:rsidRPr="00DD16D8">
              <w:rPr>
                <w:rFonts w:asciiTheme="minorHAnsi" w:hAnsiTheme="minorHAnsi" w:cstheme="minorHAnsi"/>
                <w:sz w:val="20"/>
                <w:szCs w:val="20"/>
              </w:rPr>
              <w:t>к</w:t>
            </w:r>
          </w:p>
        </w:tc>
        <w:tc>
          <w:tcPr>
            <w:tcW w:w="597"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6194,8</w:t>
            </w:r>
          </w:p>
        </w:tc>
        <w:tc>
          <w:tcPr>
            <w:tcW w:w="46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149,8</w:t>
            </w:r>
          </w:p>
        </w:tc>
        <w:tc>
          <w:tcPr>
            <w:tcW w:w="526" w:type="pct"/>
            <w:shd w:val="clear" w:color="auto" w:fill="auto"/>
            <w:vAlign w:val="bottom"/>
          </w:tcPr>
          <w:p w:rsidR="00B82A4E" w:rsidRPr="00DD16D8" w:rsidRDefault="00B82A4E"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 </w:t>
            </w:r>
            <w:r w:rsidR="00E634EB" w:rsidRPr="00DD16D8">
              <w:rPr>
                <w:rFonts w:asciiTheme="minorHAnsi" w:hAnsiTheme="minorHAnsi" w:cstheme="minorHAnsi"/>
                <w:bCs/>
                <w:sz w:val="20"/>
                <w:szCs w:val="20"/>
              </w:rPr>
              <w:t>0,6</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Бангладеш</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7223,5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141,0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4C1435" w:rsidRPr="00DD16D8">
              <w:rPr>
                <w:rFonts w:asciiTheme="minorHAnsi" w:hAnsiTheme="minorHAnsi" w:cstheme="minorHAnsi"/>
                <w:sz w:val="20"/>
                <w:szCs w:val="20"/>
              </w:rPr>
              <w:t>0,8</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193,6</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189,8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7029,9</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Бельгія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2189,7</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72,3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10157,2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80,1</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0,9</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7967,5</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Білорусь</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35410,2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81,3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4,0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26609,0</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71,0</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2,4</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8801,2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Болгарія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8805,2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63,8</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4891,2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64,4</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2,4</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3914,0</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Боснія і Герцеговина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1050,5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90,2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0,1</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150,4</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236,4</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900,1</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Бразилія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174,8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207,6</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14837,3</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122,9</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14662,5</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В’єтнам</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2636,4</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68,8</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3229,1</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96,0</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592,7</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Вірменія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14026,7</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120,0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1,6</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436,6</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96,2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13590,2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Греція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3995,2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90,4</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0,5</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2340,2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142,0</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1655,0</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Грузія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27986,1</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97,6</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3,2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1142,5</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86,1</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26843,6</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Данія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496,6</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69,1</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0,1</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2634,2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107,1</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2137,6</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1350,5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86,3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1350,5</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Естонія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2810,5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134,9</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2118,2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108,1</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692,3</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Єгипет</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66554,7</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7,6</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4126,4</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129,0</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0,4</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62428,2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Ємен</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3289,8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119,3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0,4</w:t>
            </w:r>
          </w:p>
        </w:tc>
        <w:tc>
          <w:tcPr>
            <w:tcW w:w="59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3289,8</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Ізраїль</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11630,3</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101,2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340,7</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64,6</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11289,6</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Індія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33107,5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118,4</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3,8</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41730,3</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107,5</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3,7</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8622,8</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Індонезія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8776,7</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128,1</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5409,7</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184,1</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0,5</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3367,0</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Ірак</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8827,3</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360,0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1,0</w:t>
            </w:r>
          </w:p>
        </w:tc>
        <w:tc>
          <w:tcPr>
            <w:tcW w:w="59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8827,3</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Іран (Ісламська республіка)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245,2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3120,3</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125,8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2875,1</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Ірландія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1909,2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913,7</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157,0</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528,2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1752,2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Іспанія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13270,6</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57,7</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1,5</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11712,5</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129,2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1,0</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1558,1</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Італія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15503,2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105,6</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1,8</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52611,2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100,0</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4,7</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37108,1</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Йорданія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3185,9</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159,0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0,4</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881,2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15,8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2304,7</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Казахстан</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12779,8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96,2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1,5</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7834,1</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196,8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0,7</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4945,7</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Канада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3063,4</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187,2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3441,5</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133,8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378,2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Катар</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2312,4</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224,0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proofErr w:type="spellStart"/>
            <w:r w:rsidRPr="007D7FBC">
              <w:rPr>
                <w:rFonts w:asciiTheme="minorHAnsi" w:hAnsiTheme="minorHAnsi" w:cs="Times New Roman CYR"/>
                <w:sz w:val="20"/>
                <w:szCs w:val="20"/>
                <w:lang w:eastAsia="uk-UA"/>
              </w:rPr>
              <w:t>Киргистан</w:t>
            </w:r>
            <w:proofErr w:type="spellEnd"/>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1382,2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140,5</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Китай</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24914,8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90,1</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2,8</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216789,2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94,5</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19,4</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191874,4</w:t>
            </w:r>
          </w:p>
        </w:tc>
      </w:tr>
      <w:tr w:rsidR="00B82A4E" w:rsidRPr="007D7FBC" w:rsidTr="00DD16D8">
        <w:trPr>
          <w:trHeight w:val="20"/>
        </w:trPr>
        <w:tc>
          <w:tcPr>
            <w:tcW w:w="1065" w:type="pct"/>
            <w:shd w:val="clear" w:color="auto" w:fill="auto"/>
            <w:vAlign w:val="bottom"/>
          </w:tcPr>
          <w:p w:rsidR="00B82A4E" w:rsidRPr="007D7FBC" w:rsidRDefault="00B82A4E" w:rsidP="003441A9">
            <w:pPr>
              <w:ind w:left="142"/>
              <w:rPr>
                <w:rFonts w:asciiTheme="minorHAnsi" w:hAnsiTheme="minorHAnsi" w:cs="Times New Roman CYR"/>
                <w:sz w:val="20"/>
                <w:szCs w:val="20"/>
                <w:lang w:eastAsia="uk-UA"/>
              </w:rPr>
            </w:pPr>
            <w:proofErr w:type="spellStart"/>
            <w:r w:rsidRPr="007D7FBC">
              <w:rPr>
                <w:rFonts w:asciiTheme="minorHAnsi" w:hAnsiTheme="minorHAnsi" w:cs="Times New Roman CYR"/>
                <w:sz w:val="20"/>
                <w:szCs w:val="20"/>
                <w:lang w:eastAsia="uk-UA"/>
              </w:rPr>
              <w:t>Кот-Д’Iвуар</w:t>
            </w:r>
            <w:proofErr w:type="spellEnd"/>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5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х</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к</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1666,2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101,8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Латвія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5876,8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66,9</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0,7</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3647,4</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61,8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2229,3</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Литва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18472,6</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148,8</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2,1</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6717,1</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57,5</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0,6</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11755,5</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Ліван</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4548,2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145,7</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0,5</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Лівія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4853,2</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191,1</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0,6</w:t>
            </w:r>
          </w:p>
        </w:tc>
        <w:tc>
          <w:tcPr>
            <w:tcW w:w="59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4853,2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Мавританія</w:t>
            </w:r>
          </w:p>
        </w:tc>
        <w:tc>
          <w:tcPr>
            <w:tcW w:w="57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5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Малаві</w:t>
            </w:r>
          </w:p>
        </w:tc>
        <w:tc>
          <w:tcPr>
            <w:tcW w:w="57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5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Малайзія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3045,8</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102,5</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0,3</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3387,0</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67,7</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341,2</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Марокко</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8497,7</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170,2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1,0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1079,2</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58,2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7418,5</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Мексика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748,3</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121,8</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0,1</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3335,4</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182,8</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2587,1</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Мозамбік</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к</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val="20"/>
        </w:trPr>
        <w:tc>
          <w:tcPr>
            <w:tcW w:w="1065" w:type="pct"/>
            <w:shd w:val="clear" w:color="auto" w:fill="auto"/>
            <w:vAlign w:val="bottom"/>
          </w:tcPr>
          <w:p w:rsidR="00B82A4E" w:rsidRPr="007D7FBC" w:rsidRDefault="00B82A4E" w:rsidP="00B835F3">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Нідерланди</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17529,1</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148,3</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224865" w:rsidRPr="00DD16D8">
              <w:rPr>
                <w:rFonts w:asciiTheme="minorHAnsi" w:hAnsiTheme="minorHAnsi" w:cstheme="minorHAnsi"/>
                <w:sz w:val="20"/>
                <w:szCs w:val="20"/>
              </w:rPr>
              <w:t>2,0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42789,9</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104,9</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3,8</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25260,8</w:t>
            </w:r>
          </w:p>
        </w:tc>
      </w:tr>
    </w:tbl>
    <w:p w:rsidR="005877E1" w:rsidRPr="007D7FBC" w:rsidRDefault="005877E1" w:rsidP="005877E1">
      <w:pPr>
        <w:jc w:val="right"/>
        <w:rPr>
          <w:rFonts w:asciiTheme="minorHAnsi" w:hAnsiTheme="minorHAnsi" w:cstheme="minorHAnsi"/>
          <w:sz w:val="22"/>
          <w:szCs w:val="22"/>
        </w:rPr>
      </w:pPr>
      <w:r w:rsidRPr="007D7FBC">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D7FBC"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7D7FBC"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spacing w:val="-6"/>
                <w:sz w:val="20"/>
                <w:szCs w:val="20"/>
              </w:rPr>
            </w:pPr>
            <w:r w:rsidRPr="007D7FBC">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spacing w:val="-6"/>
                <w:sz w:val="20"/>
                <w:szCs w:val="20"/>
              </w:rPr>
            </w:pPr>
            <w:r w:rsidRPr="007D7FBC">
              <w:rPr>
                <w:rFonts w:ascii="Calibri" w:hAnsi="Calibri"/>
                <w:spacing w:val="-6"/>
                <w:sz w:val="20"/>
                <w:szCs w:val="20"/>
              </w:rPr>
              <w:t>Імпорт</w:t>
            </w:r>
            <w:r w:rsidR="00E26425" w:rsidRPr="007D7FBC">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5877E1">
            <w:pPr>
              <w:jc w:val="center"/>
              <w:rPr>
                <w:rFonts w:ascii="Calibri" w:hAnsi="Calibri" w:cs="Calibri"/>
                <w:bCs/>
                <w:sz w:val="20"/>
                <w:szCs w:val="20"/>
              </w:rPr>
            </w:pPr>
            <w:r w:rsidRPr="007D7FBC">
              <w:rPr>
                <w:rFonts w:ascii="Calibri" w:hAnsi="Calibri"/>
                <w:spacing w:val="-6"/>
                <w:sz w:val="20"/>
                <w:szCs w:val="20"/>
              </w:rPr>
              <w:t>Сальдо</w:t>
            </w:r>
            <w:r w:rsidR="00E26425" w:rsidRPr="007D7FBC">
              <w:rPr>
                <w:rFonts w:ascii="Calibri" w:hAnsi="Calibri"/>
                <w:spacing w:val="-6"/>
                <w:sz w:val="20"/>
                <w:szCs w:val="20"/>
                <w:vertAlign w:val="superscript"/>
              </w:rPr>
              <w:t>2</w:t>
            </w:r>
          </w:p>
        </w:tc>
      </w:tr>
      <w:tr w:rsidR="0077719E" w:rsidRPr="007D7FBC"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D7FBC"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snapToGrid w:val="0"/>
                <w:spacing w:val="-6"/>
                <w:sz w:val="20"/>
                <w:szCs w:val="20"/>
              </w:rPr>
            </w:pPr>
            <w:proofErr w:type="spellStart"/>
            <w:r w:rsidRPr="007D7FBC">
              <w:rPr>
                <w:rFonts w:ascii="Calibri" w:hAnsi="Calibri"/>
                <w:snapToGrid w:val="0"/>
                <w:spacing w:val="-6"/>
                <w:sz w:val="20"/>
                <w:szCs w:val="20"/>
              </w:rPr>
              <w:t>тис.дол</w:t>
            </w:r>
            <w:proofErr w:type="spellEnd"/>
            <w:r w:rsidRPr="007D7FBC">
              <w:rPr>
                <w:rFonts w:ascii="Calibri" w:hAnsi="Calibri"/>
                <w:snapToGrid w:val="0"/>
                <w:spacing w:val="-6"/>
                <w:sz w:val="20"/>
                <w:szCs w:val="20"/>
              </w:rPr>
              <w:t>.</w:t>
            </w:r>
          </w:p>
          <w:p w:rsidR="005877E1" w:rsidRPr="007D7FBC" w:rsidRDefault="005877E1" w:rsidP="00FC63AC">
            <w:pPr>
              <w:spacing w:line="200" w:lineRule="exact"/>
              <w:jc w:val="center"/>
              <w:rPr>
                <w:rFonts w:ascii="Calibri" w:hAnsi="Calibri"/>
                <w:snapToGrid w:val="0"/>
                <w:spacing w:val="-6"/>
                <w:sz w:val="20"/>
                <w:szCs w:val="20"/>
              </w:rPr>
            </w:pPr>
            <w:r w:rsidRPr="007D7FBC">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D33AF" w:rsidP="00352791">
            <w:pPr>
              <w:spacing w:line="200" w:lineRule="exact"/>
              <w:jc w:val="center"/>
              <w:rPr>
                <w:rFonts w:ascii="Calibri" w:hAnsi="Calibri"/>
                <w:spacing w:val="-6"/>
                <w:sz w:val="20"/>
                <w:szCs w:val="20"/>
              </w:rPr>
            </w:pPr>
            <w:r w:rsidRPr="007D7FBC">
              <w:rPr>
                <w:rFonts w:ascii="Calibri" w:hAnsi="Calibri"/>
                <w:bCs/>
                <w:spacing w:val="-6"/>
                <w:sz w:val="20"/>
                <w:szCs w:val="20"/>
              </w:rPr>
              <w:t>у % до січня–серпня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bCs/>
                <w:sz w:val="20"/>
                <w:szCs w:val="20"/>
              </w:rPr>
            </w:pPr>
            <w:r w:rsidRPr="007D7FBC">
              <w:rPr>
                <w:rFonts w:ascii="Calibri" w:hAnsi="Calibri"/>
                <w:bCs/>
                <w:sz w:val="20"/>
                <w:szCs w:val="20"/>
              </w:rPr>
              <w:t>у % до</w:t>
            </w:r>
          </w:p>
          <w:p w:rsidR="005877E1" w:rsidRPr="007D7FBC" w:rsidRDefault="005877E1" w:rsidP="00FC63AC">
            <w:pPr>
              <w:spacing w:line="200" w:lineRule="exact"/>
              <w:jc w:val="center"/>
              <w:rPr>
                <w:rFonts w:ascii="Calibri" w:hAnsi="Calibri"/>
                <w:bCs/>
                <w:sz w:val="20"/>
                <w:szCs w:val="20"/>
              </w:rPr>
            </w:pPr>
            <w:proofErr w:type="spellStart"/>
            <w:r w:rsidRPr="007D7FBC">
              <w:rPr>
                <w:rFonts w:ascii="Calibri" w:hAnsi="Calibri"/>
                <w:bCs/>
                <w:sz w:val="20"/>
                <w:szCs w:val="20"/>
              </w:rPr>
              <w:t>загаль-</w:t>
            </w:r>
            <w:proofErr w:type="spellEnd"/>
          </w:p>
          <w:p w:rsidR="005877E1" w:rsidRPr="007D7FBC" w:rsidRDefault="005877E1" w:rsidP="00FC63AC">
            <w:pPr>
              <w:spacing w:line="200" w:lineRule="exact"/>
              <w:jc w:val="center"/>
              <w:rPr>
                <w:rFonts w:ascii="Calibri" w:hAnsi="Calibri"/>
                <w:bCs/>
                <w:sz w:val="20"/>
                <w:szCs w:val="20"/>
              </w:rPr>
            </w:pPr>
            <w:proofErr w:type="spellStart"/>
            <w:r w:rsidRPr="007D7FBC">
              <w:rPr>
                <w:rFonts w:ascii="Calibri" w:hAnsi="Calibri"/>
                <w:bCs/>
                <w:sz w:val="20"/>
                <w:szCs w:val="20"/>
              </w:rPr>
              <w:t>ного</w:t>
            </w:r>
            <w:proofErr w:type="spellEnd"/>
          </w:p>
          <w:p w:rsidR="005877E1" w:rsidRPr="007D7FBC" w:rsidRDefault="005877E1" w:rsidP="00FC63AC">
            <w:pPr>
              <w:spacing w:line="200" w:lineRule="exact"/>
              <w:jc w:val="center"/>
              <w:rPr>
                <w:rFonts w:ascii="Calibri" w:hAnsi="Calibri"/>
                <w:snapToGrid w:val="0"/>
                <w:spacing w:val="-6"/>
                <w:sz w:val="20"/>
                <w:szCs w:val="20"/>
              </w:rPr>
            </w:pPr>
            <w:r w:rsidRPr="007D7FBC">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snapToGrid w:val="0"/>
                <w:spacing w:val="-6"/>
                <w:sz w:val="20"/>
                <w:szCs w:val="20"/>
              </w:rPr>
            </w:pPr>
            <w:proofErr w:type="spellStart"/>
            <w:r w:rsidRPr="007D7FBC">
              <w:rPr>
                <w:rFonts w:ascii="Calibri" w:hAnsi="Calibri"/>
                <w:snapToGrid w:val="0"/>
                <w:spacing w:val="-6"/>
                <w:sz w:val="20"/>
                <w:szCs w:val="20"/>
              </w:rPr>
              <w:t>тис.дол</w:t>
            </w:r>
            <w:proofErr w:type="spellEnd"/>
            <w:r w:rsidRPr="007D7FBC">
              <w:rPr>
                <w:rFonts w:ascii="Calibri" w:hAnsi="Calibri"/>
                <w:snapToGrid w:val="0"/>
                <w:spacing w:val="-6"/>
                <w:sz w:val="20"/>
                <w:szCs w:val="20"/>
              </w:rPr>
              <w:t>.</w:t>
            </w:r>
          </w:p>
          <w:p w:rsidR="005877E1" w:rsidRPr="007D7FBC" w:rsidRDefault="005877E1" w:rsidP="00FC63AC">
            <w:pPr>
              <w:spacing w:line="200" w:lineRule="exact"/>
              <w:jc w:val="center"/>
              <w:rPr>
                <w:rFonts w:ascii="Calibri" w:hAnsi="Calibri"/>
                <w:snapToGrid w:val="0"/>
                <w:spacing w:val="-6"/>
                <w:sz w:val="20"/>
                <w:szCs w:val="20"/>
              </w:rPr>
            </w:pPr>
            <w:r w:rsidRPr="007D7FBC">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D33AF" w:rsidP="00352791">
            <w:pPr>
              <w:spacing w:line="200" w:lineRule="exact"/>
              <w:jc w:val="center"/>
              <w:rPr>
                <w:rFonts w:ascii="Calibri" w:hAnsi="Calibri"/>
                <w:spacing w:val="-6"/>
                <w:sz w:val="20"/>
                <w:szCs w:val="20"/>
              </w:rPr>
            </w:pPr>
            <w:r w:rsidRPr="007D7FBC">
              <w:rPr>
                <w:rFonts w:ascii="Calibri" w:hAnsi="Calibri"/>
                <w:bCs/>
                <w:spacing w:val="-6"/>
                <w:sz w:val="20"/>
                <w:szCs w:val="20"/>
              </w:rPr>
              <w:t>у % до січня–серпня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D7FBC" w:rsidRDefault="005877E1" w:rsidP="00FC63AC">
            <w:pPr>
              <w:spacing w:line="200" w:lineRule="exact"/>
              <w:jc w:val="center"/>
              <w:rPr>
                <w:rFonts w:ascii="Calibri" w:hAnsi="Calibri"/>
                <w:bCs/>
                <w:sz w:val="20"/>
                <w:szCs w:val="20"/>
              </w:rPr>
            </w:pPr>
            <w:r w:rsidRPr="007D7FBC">
              <w:rPr>
                <w:rFonts w:ascii="Calibri" w:hAnsi="Calibri"/>
                <w:bCs/>
                <w:sz w:val="20"/>
                <w:szCs w:val="20"/>
              </w:rPr>
              <w:t>у % до</w:t>
            </w:r>
          </w:p>
          <w:p w:rsidR="005877E1" w:rsidRPr="007D7FBC" w:rsidRDefault="005877E1" w:rsidP="00FC63AC">
            <w:pPr>
              <w:spacing w:line="200" w:lineRule="exact"/>
              <w:jc w:val="center"/>
              <w:rPr>
                <w:rFonts w:ascii="Calibri" w:hAnsi="Calibri"/>
                <w:bCs/>
                <w:sz w:val="20"/>
                <w:szCs w:val="20"/>
              </w:rPr>
            </w:pPr>
            <w:proofErr w:type="spellStart"/>
            <w:r w:rsidRPr="007D7FBC">
              <w:rPr>
                <w:rFonts w:ascii="Calibri" w:hAnsi="Calibri"/>
                <w:bCs/>
                <w:sz w:val="20"/>
                <w:szCs w:val="20"/>
              </w:rPr>
              <w:t>загаль-</w:t>
            </w:r>
            <w:proofErr w:type="spellEnd"/>
          </w:p>
          <w:p w:rsidR="005877E1" w:rsidRPr="007D7FBC" w:rsidRDefault="005877E1" w:rsidP="00FC63AC">
            <w:pPr>
              <w:spacing w:line="200" w:lineRule="exact"/>
              <w:jc w:val="center"/>
              <w:rPr>
                <w:rFonts w:ascii="Calibri" w:hAnsi="Calibri"/>
                <w:bCs/>
                <w:sz w:val="20"/>
                <w:szCs w:val="20"/>
              </w:rPr>
            </w:pPr>
            <w:proofErr w:type="spellStart"/>
            <w:r w:rsidRPr="007D7FBC">
              <w:rPr>
                <w:rFonts w:ascii="Calibri" w:hAnsi="Calibri"/>
                <w:bCs/>
                <w:sz w:val="20"/>
                <w:szCs w:val="20"/>
              </w:rPr>
              <w:t>ного</w:t>
            </w:r>
            <w:proofErr w:type="spellEnd"/>
          </w:p>
          <w:p w:rsidR="005877E1" w:rsidRPr="007D7FBC" w:rsidRDefault="005877E1" w:rsidP="00FC63AC">
            <w:pPr>
              <w:spacing w:line="200" w:lineRule="exact"/>
              <w:jc w:val="center"/>
              <w:rPr>
                <w:rFonts w:ascii="Calibri" w:hAnsi="Calibri"/>
                <w:snapToGrid w:val="0"/>
                <w:spacing w:val="-6"/>
                <w:sz w:val="20"/>
                <w:szCs w:val="20"/>
              </w:rPr>
            </w:pPr>
            <w:r w:rsidRPr="007D7FBC">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D7FBC" w:rsidRDefault="005877E1" w:rsidP="0096732B">
            <w:pPr>
              <w:jc w:val="right"/>
              <w:rPr>
                <w:rFonts w:ascii="Calibri" w:hAnsi="Calibri" w:cs="Calibri"/>
                <w:bCs/>
                <w:sz w:val="20"/>
                <w:szCs w:val="20"/>
              </w:rPr>
            </w:pPr>
          </w:p>
        </w:tc>
      </w:tr>
      <w:tr w:rsidR="00B82A4E" w:rsidRPr="007D7FBC" w:rsidTr="00DD16D8">
        <w:trPr>
          <w:trHeight w:hRule="exact" w:val="289"/>
        </w:trPr>
        <w:tc>
          <w:tcPr>
            <w:tcW w:w="1065" w:type="pct"/>
            <w:shd w:val="clear" w:color="auto" w:fill="auto"/>
            <w:vAlign w:val="bottom"/>
          </w:tcPr>
          <w:p w:rsidR="00B82A4E" w:rsidRPr="007D7FBC" w:rsidRDefault="00B82A4E" w:rsidP="004C1435">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Німеччина</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25800,3</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102,0</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756B5E" w:rsidRPr="00DD16D8">
              <w:rPr>
                <w:rFonts w:asciiTheme="minorHAnsi" w:hAnsiTheme="minorHAnsi" w:cstheme="minorHAnsi"/>
                <w:sz w:val="20"/>
                <w:szCs w:val="20"/>
              </w:rPr>
              <w:t>2,9</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77168,1</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95,3</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6,9</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51367,8</w:t>
            </w:r>
          </w:p>
        </w:tc>
      </w:tr>
      <w:tr w:rsidR="00B82A4E" w:rsidRPr="007D7FBC" w:rsidTr="00DD16D8">
        <w:trPr>
          <w:trHeight w:hRule="exact" w:val="277"/>
        </w:trPr>
        <w:tc>
          <w:tcPr>
            <w:tcW w:w="1065" w:type="pct"/>
            <w:shd w:val="clear" w:color="auto" w:fill="auto"/>
            <w:vAlign w:val="bottom"/>
          </w:tcPr>
          <w:p w:rsidR="00B82A4E" w:rsidRPr="007D7FBC" w:rsidRDefault="00B82A4E" w:rsidP="004C1435">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Норвегія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4327,1</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101,2</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0,5</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5434,7</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171,7</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0,5</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1107,6</w:t>
            </w:r>
          </w:p>
        </w:tc>
      </w:tr>
      <w:tr w:rsidR="00B82A4E" w:rsidRPr="007D7FBC" w:rsidTr="00DD16D8">
        <w:trPr>
          <w:trHeight w:hRule="exact" w:val="531"/>
        </w:trPr>
        <w:tc>
          <w:tcPr>
            <w:tcW w:w="1065" w:type="pct"/>
            <w:shd w:val="clear" w:color="auto" w:fill="auto"/>
            <w:vAlign w:val="bottom"/>
          </w:tcPr>
          <w:p w:rsidR="00B82A4E" w:rsidRPr="007D7FBC" w:rsidRDefault="00B82A4E" w:rsidP="00E35CD1">
            <w:pPr>
              <w:ind w:left="142"/>
              <w:rPr>
                <w:rFonts w:asciiTheme="minorHAnsi" w:hAnsiTheme="minorHAnsi" w:cs="Times New Roman CYR"/>
                <w:sz w:val="20"/>
                <w:szCs w:val="20"/>
                <w:lang w:eastAsia="uk-UA"/>
              </w:rPr>
            </w:pPr>
            <w:r w:rsidRPr="007D7FBC">
              <w:rPr>
                <w:rFonts w:asciiTheme="minorHAnsi" w:hAnsiTheme="minorHAnsi" w:cstheme="minorHAnsi"/>
                <w:sz w:val="20"/>
                <w:szCs w:val="20"/>
              </w:rPr>
              <w:t>Об’єднана Республіка Танзанія</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78,6</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19,4</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61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B82A4E" w:rsidRPr="007D7FBC" w:rsidTr="00DD16D8">
        <w:trPr>
          <w:trHeight w:hRule="exact" w:val="531"/>
        </w:trPr>
        <w:tc>
          <w:tcPr>
            <w:tcW w:w="1065" w:type="pct"/>
            <w:shd w:val="clear" w:color="auto" w:fill="auto"/>
            <w:vAlign w:val="bottom"/>
          </w:tcPr>
          <w:p w:rsidR="00B82A4E" w:rsidRPr="007D7FBC" w:rsidRDefault="00B82A4E"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5125,5</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121,7</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0,6</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5135,9</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84,2</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0,5</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10,3</w:t>
            </w:r>
          </w:p>
        </w:tc>
      </w:tr>
      <w:tr w:rsidR="00B82A4E" w:rsidRPr="007D7FBC" w:rsidTr="00DD16D8">
        <w:trPr>
          <w:trHeight w:hRule="exact" w:val="255"/>
        </w:trPr>
        <w:tc>
          <w:tcPr>
            <w:tcW w:w="1065" w:type="pct"/>
            <w:shd w:val="clear" w:color="auto" w:fill="auto"/>
            <w:vAlign w:val="bottom"/>
          </w:tcPr>
          <w:p w:rsidR="00B82A4E" w:rsidRPr="007D7FBC" w:rsidRDefault="00B82A4E"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Оман</w:t>
            </w:r>
          </w:p>
        </w:tc>
        <w:tc>
          <w:tcPr>
            <w:tcW w:w="57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1398,1</w:t>
            </w:r>
          </w:p>
        </w:tc>
        <w:tc>
          <w:tcPr>
            <w:tcW w:w="55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164,5</w:t>
            </w:r>
          </w:p>
        </w:tc>
        <w:tc>
          <w:tcPr>
            <w:tcW w:w="595"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8194,4</w:t>
            </w:r>
          </w:p>
        </w:tc>
        <w:tc>
          <w:tcPr>
            <w:tcW w:w="46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B82A4E" w:rsidRPr="00DD16D8" w:rsidRDefault="00B82A4E"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0,7</w:t>
            </w:r>
          </w:p>
        </w:tc>
        <w:tc>
          <w:tcPr>
            <w:tcW w:w="617" w:type="pct"/>
            <w:shd w:val="clear" w:color="auto" w:fill="auto"/>
            <w:vAlign w:val="bottom"/>
          </w:tcPr>
          <w:p w:rsidR="00B82A4E"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B82A4E" w:rsidRPr="00DD16D8">
              <w:rPr>
                <w:rFonts w:asciiTheme="minorHAnsi" w:hAnsiTheme="minorHAnsi" w:cstheme="minorHAnsi"/>
                <w:sz w:val="20"/>
                <w:szCs w:val="20"/>
              </w:rPr>
              <w:t>6796,3</w:t>
            </w:r>
          </w:p>
        </w:tc>
      </w:tr>
      <w:tr w:rsidR="004C1435" w:rsidRPr="007D7FBC" w:rsidTr="00DD16D8">
        <w:trPr>
          <w:trHeight w:hRule="exact" w:val="255"/>
        </w:trPr>
        <w:tc>
          <w:tcPr>
            <w:tcW w:w="1065" w:type="pct"/>
            <w:shd w:val="clear" w:color="auto" w:fill="auto"/>
            <w:vAlign w:val="bottom"/>
          </w:tcPr>
          <w:p w:rsidR="004C1435" w:rsidRPr="007D7FBC" w:rsidRDefault="004C1435"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Пакистан</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1106,7</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89,9</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6137,8</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120,4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0,5</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5031,1</w:t>
            </w:r>
          </w:p>
        </w:tc>
      </w:tr>
      <w:tr w:rsidR="004C1435" w:rsidRPr="007D7FBC" w:rsidTr="00DD16D8">
        <w:trPr>
          <w:trHeight w:hRule="exact" w:val="255"/>
        </w:trPr>
        <w:tc>
          <w:tcPr>
            <w:tcW w:w="1065" w:type="pct"/>
            <w:shd w:val="clear" w:color="auto" w:fill="auto"/>
            <w:vAlign w:val="bottom"/>
          </w:tcPr>
          <w:p w:rsidR="004C1435" w:rsidRPr="007D7FBC" w:rsidRDefault="004C1435"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Північна Македонія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993,9</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195,7</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1102,0</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114,0</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0,1</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108,1</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Польща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40492,8</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93,3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4,6</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49829,6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114,3</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4,5</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9336,8</w:t>
            </w:r>
          </w:p>
        </w:tc>
      </w:tr>
      <w:tr w:rsidR="004C1435" w:rsidRPr="007D7FBC" w:rsidTr="00DD16D8">
        <w:trPr>
          <w:trHeight w:hRule="exact" w:val="271"/>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Республіка Корея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3233,0</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724,0</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0,4</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19586,0</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102,4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1,8</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16353,1</w:t>
            </w:r>
          </w:p>
        </w:tc>
      </w:tr>
      <w:tr w:rsidR="004C1435" w:rsidRPr="007D7FBC" w:rsidTr="00DD16D8">
        <w:trPr>
          <w:trHeight w:hRule="exact" w:val="49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32454,6</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94,0</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3,7</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1825,3</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249,8</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0,2</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30629,3</w:t>
            </w:r>
          </w:p>
        </w:tc>
      </w:tr>
      <w:tr w:rsidR="004C1435" w:rsidRPr="007D7FBC" w:rsidTr="00DD16D8">
        <w:trPr>
          <w:trHeight w:hRule="exact" w:val="49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146543,6</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91,9</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16,6</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162195,1</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90,2</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14,5</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15651,5</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Румунія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11382,5</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92,3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1,3</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6369,5</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119,7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0,6</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5013,0</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4547,4</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130,8</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0,5</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2650,6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41,7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0,2</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1896,8</w:t>
            </w:r>
          </w:p>
        </w:tc>
      </w:tr>
      <w:tr w:rsidR="004C1435" w:rsidRPr="007D7FBC" w:rsidTr="00DD16D8">
        <w:trPr>
          <w:trHeight w:hRule="exact" w:val="255"/>
        </w:trPr>
        <w:tc>
          <w:tcPr>
            <w:tcW w:w="1065" w:type="pct"/>
            <w:shd w:val="clear" w:color="auto" w:fill="auto"/>
            <w:vAlign w:val="bottom"/>
          </w:tcPr>
          <w:p w:rsidR="004C1435" w:rsidRPr="007D7FBC" w:rsidRDefault="004C1435"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Сербія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2179,1</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92,8</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1073,6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54,3</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0,1</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1105,5</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proofErr w:type="spellStart"/>
            <w:r w:rsidRPr="007D7FBC">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2674,9</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335,9</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232,0</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60,9</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0,0</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2442,8</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Словаччина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6701,3</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51,6</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0,8</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10603,0</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100,0</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0,9</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3901,6</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Словенія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1707,1</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131,9</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2892,4</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93,0</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0,3</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1185,3</w:t>
            </w:r>
          </w:p>
        </w:tc>
      </w:tr>
      <w:tr w:rsidR="004C1435" w:rsidRPr="007D7FBC" w:rsidTr="00DD16D8">
        <w:trPr>
          <w:trHeight w:hRule="exact" w:val="1022"/>
        </w:trPr>
        <w:tc>
          <w:tcPr>
            <w:tcW w:w="1065" w:type="pct"/>
            <w:shd w:val="clear" w:color="auto" w:fill="auto"/>
            <w:vAlign w:val="bottom"/>
          </w:tcPr>
          <w:p w:rsidR="004C1435" w:rsidRPr="007D7FBC" w:rsidRDefault="004C1435" w:rsidP="00E35CD1">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11188,2</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98,8</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1,3</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8724,6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105,8</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0,8</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2463,6</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Судан</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к</w:t>
            </w:r>
          </w:p>
        </w:tc>
        <w:tc>
          <w:tcPr>
            <w:tcW w:w="59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США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9600,7</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121,4</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1,1</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64174,7</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107,7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5,7</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54574,0</w:t>
            </w:r>
          </w:p>
        </w:tc>
      </w:tr>
      <w:tr w:rsidR="004C1435" w:rsidRPr="007D7FBC" w:rsidTr="00DD16D8">
        <w:trPr>
          <w:trHeight w:hRule="exact" w:val="503"/>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184,1</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84,0</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0,0</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9073,9</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99,4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0,8</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8889,8</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Таїланд</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3876,5</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110,4</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0,4</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2555,6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73,0</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0,2</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1321,0</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Туніс</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4683,3</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116,3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0,5</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223,1</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93,4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0,0</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4460,2</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Туреччина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22453,2</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41,9</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2,6</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56506,8</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139,4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5,1</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34053,6</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proofErr w:type="spellStart"/>
            <w:r w:rsidRPr="007D7FBC">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1457,5</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57,6</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к</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Угорщина</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8549,4</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103,3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1,0</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21646,4</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109,3</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1,9</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13097,0</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Узбекистан</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8744,6</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102,3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1,0</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4206,8</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141,7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0,4</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4537,7</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Філіппіни</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15463,0</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346,3</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1,8</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308,1</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837,7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0,0</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15155,0</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Фінляндія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1224,0</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86,0</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0,1</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9129,6</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89,1</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0,8</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7905,6</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Франція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8630,1</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124,6</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1,0</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10134,3</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76,9</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0,9</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1504,2</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Хорватія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1602,1</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84,8</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560,2</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212,6</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0,1</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1041,9</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Чехія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9622,7</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108,7</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1,1</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17799,3</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135,5</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1,6</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8176,6</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Швейцарія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2229,4</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126,5</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0,3</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9018,4</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72,6</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0,8</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6788,9</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Швеція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1768,5</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71,6</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0,2</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4630,0</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83,8</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0,4</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2861,5</w:t>
            </w:r>
          </w:p>
        </w:tc>
      </w:tr>
      <w:tr w:rsidR="004C1435" w:rsidRPr="007D7FBC"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proofErr w:type="spellStart"/>
            <w:r w:rsidRPr="007D7FBC">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3451,3</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202,6</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0,4</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1982,5</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83,6</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0,2</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1468,8</w:t>
            </w:r>
          </w:p>
        </w:tc>
      </w:tr>
      <w:tr w:rsidR="004C1435" w:rsidRPr="0077719E" w:rsidTr="00DD16D8">
        <w:trPr>
          <w:trHeight w:hRule="exact" w:val="255"/>
        </w:trPr>
        <w:tc>
          <w:tcPr>
            <w:tcW w:w="1065" w:type="pct"/>
            <w:shd w:val="clear" w:color="auto" w:fill="auto"/>
            <w:vAlign w:val="bottom"/>
          </w:tcPr>
          <w:p w:rsidR="004C1435" w:rsidRPr="007D7FBC" w:rsidRDefault="004C1435" w:rsidP="008135C6">
            <w:pPr>
              <w:ind w:left="142"/>
              <w:rPr>
                <w:rFonts w:asciiTheme="minorHAnsi" w:hAnsiTheme="minorHAnsi" w:cs="Times New Roman CYR"/>
                <w:sz w:val="20"/>
                <w:szCs w:val="20"/>
                <w:lang w:eastAsia="uk-UA"/>
              </w:rPr>
            </w:pPr>
            <w:r w:rsidRPr="007D7FBC">
              <w:rPr>
                <w:rFonts w:asciiTheme="minorHAnsi" w:hAnsiTheme="minorHAnsi" w:cs="Times New Roman CYR"/>
                <w:sz w:val="20"/>
                <w:szCs w:val="20"/>
                <w:lang w:eastAsia="uk-UA"/>
              </w:rPr>
              <w:t>Японія</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51272,5</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124,2</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E634EB" w:rsidRPr="00DD16D8">
              <w:rPr>
                <w:rFonts w:asciiTheme="minorHAnsi" w:hAnsiTheme="minorHAnsi" w:cstheme="minorHAnsi"/>
                <w:sz w:val="20"/>
                <w:szCs w:val="20"/>
              </w:rPr>
              <w:t>5,8</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12309,8</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121,7</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1,1</w:t>
            </w:r>
          </w:p>
        </w:tc>
        <w:tc>
          <w:tcPr>
            <w:tcW w:w="61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38962,7</w:t>
            </w:r>
          </w:p>
        </w:tc>
      </w:tr>
      <w:tr w:rsidR="00C605C4" w:rsidRPr="0077719E" w:rsidTr="00DD16D8">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5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95" w:type="pct"/>
            <w:shd w:val="clear" w:color="auto" w:fill="auto"/>
            <w:vAlign w:val="bottom"/>
          </w:tcPr>
          <w:p w:rsidR="00C605C4" w:rsidRPr="00DD16D8" w:rsidRDefault="00C605C4" w:rsidP="00DD16D8">
            <w:pPr>
              <w:jc w:val="right"/>
              <w:rPr>
                <w:rFonts w:asciiTheme="minorHAnsi" w:hAnsiTheme="minorHAnsi" w:cstheme="minorHAnsi"/>
                <w:bCs/>
                <w:sz w:val="20"/>
                <w:szCs w:val="20"/>
              </w:rPr>
            </w:pPr>
          </w:p>
        </w:tc>
        <w:tc>
          <w:tcPr>
            <w:tcW w:w="59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466"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26" w:type="pct"/>
            <w:shd w:val="clear" w:color="auto" w:fill="auto"/>
            <w:vAlign w:val="bottom"/>
          </w:tcPr>
          <w:p w:rsidR="00C605C4" w:rsidRPr="00DD16D8" w:rsidRDefault="00C605C4" w:rsidP="00DD16D8">
            <w:pPr>
              <w:jc w:val="right"/>
              <w:rPr>
                <w:rFonts w:asciiTheme="minorHAnsi" w:hAnsiTheme="minorHAnsi" w:cstheme="minorHAnsi"/>
                <w:bCs/>
                <w:sz w:val="20"/>
                <w:szCs w:val="20"/>
              </w:rPr>
            </w:pPr>
          </w:p>
        </w:tc>
        <w:tc>
          <w:tcPr>
            <w:tcW w:w="61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r>
      <w:tr w:rsidR="00C605C4" w:rsidRPr="0077719E" w:rsidTr="00DD16D8">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Довідково</w:t>
            </w:r>
            <w:proofErr w:type="spellEnd"/>
            <w:r w:rsidRPr="00B835F3">
              <w:rPr>
                <w:rFonts w:asciiTheme="minorHAnsi" w:hAnsiTheme="minorHAnsi" w:cs="Times New Roman CYR"/>
                <w:sz w:val="20"/>
                <w:szCs w:val="20"/>
                <w:lang w:eastAsia="uk-UA"/>
              </w:rPr>
              <w:t>:</w:t>
            </w:r>
          </w:p>
        </w:tc>
        <w:tc>
          <w:tcPr>
            <w:tcW w:w="57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5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95" w:type="pct"/>
            <w:shd w:val="clear" w:color="auto" w:fill="auto"/>
            <w:vAlign w:val="bottom"/>
          </w:tcPr>
          <w:p w:rsidR="00C605C4" w:rsidRPr="00DD16D8" w:rsidRDefault="00C605C4" w:rsidP="00DD16D8">
            <w:pPr>
              <w:jc w:val="right"/>
              <w:rPr>
                <w:rFonts w:asciiTheme="minorHAnsi" w:hAnsiTheme="minorHAnsi" w:cstheme="minorHAnsi"/>
                <w:bCs/>
                <w:sz w:val="20"/>
                <w:szCs w:val="20"/>
              </w:rPr>
            </w:pPr>
          </w:p>
        </w:tc>
        <w:tc>
          <w:tcPr>
            <w:tcW w:w="59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466"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c>
          <w:tcPr>
            <w:tcW w:w="526" w:type="pct"/>
            <w:shd w:val="clear" w:color="auto" w:fill="auto"/>
            <w:vAlign w:val="bottom"/>
          </w:tcPr>
          <w:p w:rsidR="00C605C4" w:rsidRPr="00DD16D8" w:rsidRDefault="00C605C4" w:rsidP="00DD16D8">
            <w:pPr>
              <w:jc w:val="right"/>
              <w:rPr>
                <w:rFonts w:asciiTheme="minorHAnsi" w:hAnsiTheme="minorHAnsi" w:cstheme="minorHAnsi"/>
                <w:bCs/>
                <w:sz w:val="20"/>
                <w:szCs w:val="20"/>
              </w:rPr>
            </w:pPr>
          </w:p>
        </w:tc>
        <w:tc>
          <w:tcPr>
            <w:tcW w:w="617" w:type="pct"/>
            <w:shd w:val="clear" w:color="auto" w:fill="auto"/>
            <w:vAlign w:val="bottom"/>
          </w:tcPr>
          <w:p w:rsidR="00C605C4" w:rsidRPr="00DD16D8" w:rsidRDefault="00C605C4" w:rsidP="00DD16D8">
            <w:pPr>
              <w:jc w:val="right"/>
              <w:rPr>
                <w:rFonts w:asciiTheme="minorHAnsi" w:hAnsiTheme="minorHAnsi" w:cstheme="minorHAnsi"/>
                <w:sz w:val="20"/>
                <w:szCs w:val="20"/>
                <w:lang w:eastAsia="uk-UA"/>
              </w:rPr>
            </w:pPr>
          </w:p>
        </w:tc>
      </w:tr>
      <w:tr w:rsidR="004C1435" w:rsidRPr="0077719E" w:rsidTr="00DD16D8">
        <w:trPr>
          <w:trHeight w:hRule="exact" w:val="255"/>
        </w:trPr>
        <w:tc>
          <w:tcPr>
            <w:tcW w:w="1065" w:type="pct"/>
            <w:shd w:val="clear" w:color="auto" w:fill="auto"/>
            <w:vAlign w:val="bottom"/>
          </w:tcPr>
          <w:p w:rsidR="004C1435" w:rsidRPr="00B835F3" w:rsidRDefault="004C1435"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Країни ЄС</w:t>
            </w:r>
          </w:p>
        </w:tc>
        <w:tc>
          <w:tcPr>
            <w:tcW w:w="57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222605,2</w:t>
            </w:r>
          </w:p>
        </w:tc>
        <w:tc>
          <w:tcPr>
            <w:tcW w:w="55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93,8</w:t>
            </w:r>
          </w:p>
        </w:tc>
        <w:tc>
          <w:tcPr>
            <w:tcW w:w="595"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25,3</w:t>
            </w:r>
          </w:p>
        </w:tc>
        <w:tc>
          <w:tcPr>
            <w:tcW w:w="597"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370849,2</w:t>
            </w:r>
          </w:p>
        </w:tc>
        <w:tc>
          <w:tcPr>
            <w:tcW w:w="46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99,4</w:t>
            </w:r>
          </w:p>
        </w:tc>
        <w:tc>
          <w:tcPr>
            <w:tcW w:w="526" w:type="pct"/>
            <w:shd w:val="clear" w:color="auto" w:fill="auto"/>
            <w:vAlign w:val="bottom"/>
          </w:tcPr>
          <w:p w:rsidR="004C1435" w:rsidRPr="00DD16D8" w:rsidRDefault="004C1435" w:rsidP="00DD16D8">
            <w:pPr>
              <w:jc w:val="right"/>
              <w:rPr>
                <w:rFonts w:asciiTheme="minorHAnsi" w:hAnsiTheme="minorHAnsi" w:cstheme="minorHAnsi"/>
                <w:sz w:val="20"/>
                <w:szCs w:val="20"/>
              </w:rPr>
            </w:pPr>
            <w:r w:rsidRPr="00DD16D8">
              <w:rPr>
                <w:rFonts w:asciiTheme="minorHAnsi" w:hAnsiTheme="minorHAnsi" w:cstheme="minorHAnsi"/>
                <w:sz w:val="20"/>
                <w:szCs w:val="20"/>
              </w:rPr>
              <w:t> </w:t>
            </w:r>
            <w:r w:rsidR="001A1D7A" w:rsidRPr="00DD16D8">
              <w:rPr>
                <w:rFonts w:asciiTheme="minorHAnsi" w:hAnsiTheme="minorHAnsi" w:cstheme="minorHAnsi"/>
                <w:sz w:val="20"/>
                <w:szCs w:val="20"/>
              </w:rPr>
              <w:t>33,2</w:t>
            </w:r>
          </w:p>
        </w:tc>
        <w:tc>
          <w:tcPr>
            <w:tcW w:w="617" w:type="pct"/>
            <w:shd w:val="clear" w:color="auto" w:fill="auto"/>
            <w:vAlign w:val="bottom"/>
          </w:tcPr>
          <w:p w:rsidR="004C1435"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r w:rsidR="004C1435" w:rsidRPr="00DD16D8">
              <w:rPr>
                <w:rFonts w:asciiTheme="minorHAnsi" w:hAnsiTheme="minorHAnsi" w:cstheme="minorHAnsi"/>
                <w:sz w:val="20"/>
                <w:szCs w:val="20"/>
              </w:rPr>
              <w:t>148244,0</w:t>
            </w:r>
          </w:p>
        </w:tc>
      </w:tr>
    </w:tbl>
    <w:p w:rsidR="00A5383D" w:rsidRPr="0077719E" w:rsidRDefault="00A5383D" w:rsidP="00C50E5E">
      <w:pPr>
        <w:ind w:right="-568"/>
        <w:rPr>
          <w:rFonts w:ascii="Calibri" w:hAnsi="Calibri"/>
          <w:sz w:val="20"/>
          <w:szCs w:val="20"/>
          <w:u w:val="single"/>
        </w:rPr>
      </w:pPr>
      <w:r w:rsidRPr="0077719E">
        <w:rPr>
          <w:rFonts w:ascii="Calibri" w:hAnsi="Calibri"/>
          <w:sz w:val="20"/>
          <w:szCs w:val="20"/>
          <w:u w:val="single"/>
        </w:rPr>
        <w:tab/>
      </w:r>
      <w:r w:rsidRPr="0077719E">
        <w:rPr>
          <w:rFonts w:ascii="Calibri" w:hAnsi="Calibri"/>
          <w:sz w:val="20"/>
          <w:szCs w:val="20"/>
          <w:u w:val="single"/>
        </w:rPr>
        <w:tab/>
      </w:r>
    </w:p>
    <w:p w:rsidR="0060555B" w:rsidRPr="0077719E" w:rsidRDefault="0060555B" w:rsidP="00E35F36">
      <w:pPr>
        <w:spacing w:line="200" w:lineRule="exact"/>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за найбільшими країнами</w:t>
      </w:r>
      <w:r w:rsidR="000F5A2A" w:rsidRPr="0077719E">
        <w:rPr>
          <w:rFonts w:ascii="Calibri" w:hAnsi="Calibri"/>
          <w:sz w:val="18"/>
          <w:szCs w:val="18"/>
        </w:rPr>
        <w:t>-</w:t>
      </w:r>
      <w:r w:rsidRPr="0077719E">
        <w:rPr>
          <w:rFonts w:ascii="Calibri" w:hAnsi="Calibri"/>
          <w:sz w:val="18"/>
          <w:szCs w:val="18"/>
        </w:rPr>
        <w:t>партнерами.</w:t>
      </w:r>
    </w:p>
    <w:p w:rsidR="00E26425" w:rsidRPr="0077719E" w:rsidRDefault="00E26425" w:rsidP="00E35F36">
      <w:pPr>
        <w:spacing w:line="200" w:lineRule="exact"/>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462934" w:rsidRPr="0054353B"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77719E"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Символ (к) –</w:t>
      </w:r>
      <w:r w:rsidRPr="0054353B">
        <w:rPr>
          <w:rFonts w:ascii="Calibri" w:hAnsi="Calibri"/>
          <w:noProof/>
          <w:spacing w:val="-6"/>
        </w:rPr>
        <w:t xml:space="preserve"> </w:t>
      </w:r>
      <w:r w:rsidRPr="0054353B">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77719E" w:rsidRDefault="0004047A" w:rsidP="0004047A">
      <w:pPr>
        <w:spacing w:line="120" w:lineRule="auto"/>
        <w:ind w:left="-360"/>
        <w:jc w:val="right"/>
        <w:rPr>
          <w:rFonts w:ascii="Calibri" w:hAnsi="Calibri"/>
          <w:sz w:val="2"/>
          <w:szCs w:val="2"/>
        </w:rPr>
      </w:pPr>
      <w:r w:rsidRPr="0077719E">
        <w:br w:type="page"/>
      </w:r>
    </w:p>
    <w:p w:rsidR="0004047A" w:rsidRPr="0077719E" w:rsidRDefault="0004047A" w:rsidP="0004047A">
      <w:pPr>
        <w:jc w:val="right"/>
        <w:rPr>
          <w:rFonts w:ascii="Calibri" w:hAnsi="Calibri"/>
        </w:rPr>
      </w:pPr>
      <w:r w:rsidRPr="0077719E">
        <w:rPr>
          <w:rFonts w:ascii="Calibri" w:hAnsi="Calibri"/>
        </w:rPr>
        <w:lastRenderedPageBreak/>
        <w:t>Додаток 2</w:t>
      </w:r>
    </w:p>
    <w:p w:rsidR="00150545" w:rsidRPr="0077719E" w:rsidRDefault="0004047A" w:rsidP="0004047A">
      <w:pPr>
        <w:jc w:val="center"/>
        <w:rPr>
          <w:rFonts w:ascii="Calibri" w:hAnsi="Calibri"/>
          <w:b/>
        </w:rPr>
      </w:pPr>
      <w:r w:rsidRPr="0077719E">
        <w:rPr>
          <w:rFonts w:ascii="Calibri" w:hAnsi="Calibri"/>
          <w:b/>
        </w:rPr>
        <w:t xml:space="preserve">Товарна структура зовнішньої торгівлі </w:t>
      </w:r>
    </w:p>
    <w:p w:rsidR="0004047A" w:rsidRPr="0077719E" w:rsidRDefault="00AA6C31" w:rsidP="0004047A">
      <w:pPr>
        <w:jc w:val="center"/>
        <w:rPr>
          <w:rFonts w:ascii="Calibri" w:hAnsi="Calibri"/>
          <w:b/>
          <w:vertAlign w:val="superscript"/>
        </w:rPr>
      </w:pPr>
      <w:r w:rsidRPr="0077719E">
        <w:rPr>
          <w:rFonts w:ascii="Calibri" w:hAnsi="Calibri"/>
          <w:b/>
        </w:rPr>
        <w:t xml:space="preserve">у </w:t>
      </w:r>
      <w:r w:rsidR="009554E6" w:rsidRPr="0077719E">
        <w:rPr>
          <w:rFonts w:ascii="Calibri" w:hAnsi="Calibri"/>
          <w:b/>
        </w:rPr>
        <w:t>січні</w:t>
      </w:r>
      <w:r w:rsidR="00632A51" w:rsidRPr="0077719E">
        <w:rPr>
          <w:rFonts w:ascii="Calibri" w:hAnsi="Calibri"/>
          <w:b/>
        </w:rPr>
        <w:t>–</w:t>
      </w:r>
      <w:r w:rsidR="00AB37EA">
        <w:rPr>
          <w:rFonts w:ascii="Calibri" w:hAnsi="Calibri"/>
          <w:b/>
        </w:rPr>
        <w:t>серпні</w:t>
      </w:r>
      <w:r w:rsidR="00DA3B94">
        <w:rPr>
          <w:rFonts w:ascii="Calibri" w:hAnsi="Calibri"/>
          <w:b/>
        </w:rPr>
        <w:t xml:space="preserve"> </w:t>
      </w:r>
      <w:r w:rsidR="0004047A" w:rsidRPr="0077719E">
        <w:rPr>
          <w:rFonts w:ascii="Calibri" w:hAnsi="Calibri"/>
          <w:b/>
        </w:rPr>
        <w:t>20</w:t>
      </w:r>
      <w:r w:rsidR="009554E6" w:rsidRPr="0077719E">
        <w:rPr>
          <w:rFonts w:ascii="Calibri" w:hAnsi="Calibri"/>
          <w:b/>
        </w:rPr>
        <w:t>20</w:t>
      </w:r>
      <w:r w:rsidR="004F52ED" w:rsidRPr="0077719E">
        <w:rPr>
          <w:rFonts w:ascii="Calibri" w:hAnsi="Calibri"/>
          <w:b/>
        </w:rPr>
        <w:t xml:space="preserve"> </w:t>
      </w:r>
      <w:r w:rsidR="0004047A" w:rsidRPr="0077719E">
        <w:rPr>
          <w:rFonts w:ascii="Calibri" w:hAnsi="Calibri"/>
          <w:b/>
        </w:rPr>
        <w:t>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7719E"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Назва</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5024DD" w:rsidRPr="0077719E">
              <w:rPr>
                <w:rFonts w:asciiTheme="minorHAnsi" w:hAnsiTheme="minorHAnsi"/>
                <w:bCs/>
                <w:sz w:val="20"/>
                <w:szCs w:val="20"/>
              </w:rPr>
              <w:t>.дол</w:t>
            </w:r>
            <w:proofErr w:type="spellEnd"/>
            <w:r w:rsidR="005024DD" w:rsidRPr="0077719E">
              <w:rPr>
                <w:rFonts w:asciiTheme="minorHAnsi" w:hAnsiTheme="minorHAnsi"/>
                <w:bCs/>
                <w:sz w:val="20"/>
                <w:szCs w:val="20"/>
              </w:rPr>
              <w:t>.</w:t>
            </w:r>
            <w:r w:rsidR="005024DD" w:rsidRPr="0077719E">
              <w:rPr>
                <w:rFonts w:asciiTheme="minorHAnsi" w:hAnsiTheme="minorHAnsi"/>
                <w:bCs/>
                <w:sz w:val="20"/>
                <w:szCs w:val="20"/>
              </w:rPr>
              <w:br/>
            </w:r>
            <w:r w:rsidR="0039323B" w:rsidRPr="0077719E">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D33AF"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39323B" w:rsidRPr="0077719E">
              <w:rPr>
                <w:rFonts w:asciiTheme="minorHAnsi" w:hAnsiTheme="minorHAnsi"/>
                <w:bCs/>
                <w:sz w:val="20"/>
                <w:szCs w:val="20"/>
              </w:rPr>
              <w:t>.дол</w:t>
            </w:r>
            <w:proofErr w:type="spellEnd"/>
            <w:r w:rsidR="0039323B" w:rsidRPr="0077719E">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D33AF"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у % до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загального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1A1D7A" w:rsidRPr="0077719E" w:rsidTr="00DD16D8">
        <w:trPr>
          <w:trHeight w:val="255"/>
        </w:trPr>
        <w:tc>
          <w:tcPr>
            <w:tcW w:w="1041" w:type="pct"/>
            <w:tcBorders>
              <w:top w:val="single" w:sz="4" w:space="0" w:color="auto"/>
            </w:tcBorders>
            <w:shd w:val="clear" w:color="auto" w:fill="auto"/>
            <w:vAlign w:val="bottom"/>
          </w:tcPr>
          <w:p w:rsidR="001A1D7A" w:rsidRPr="0038399E" w:rsidRDefault="001A1D7A" w:rsidP="00054D83">
            <w:pPr>
              <w:spacing w:line="250" w:lineRule="exact"/>
              <w:ind w:left="-142"/>
              <w:rPr>
                <w:rFonts w:asciiTheme="minorHAnsi" w:hAnsiTheme="minorHAnsi"/>
                <w:b/>
                <w:bCs/>
                <w:sz w:val="20"/>
                <w:szCs w:val="20"/>
              </w:rPr>
            </w:pPr>
            <w:r w:rsidRPr="0038399E">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1A1D7A" w:rsidRPr="0038399E" w:rsidRDefault="001A1D7A"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880348,8</w:t>
            </w:r>
          </w:p>
        </w:tc>
        <w:tc>
          <w:tcPr>
            <w:tcW w:w="560"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97,6</w:t>
            </w:r>
          </w:p>
        </w:tc>
        <w:tc>
          <w:tcPr>
            <w:tcW w:w="542"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1117665,4</w:t>
            </w:r>
          </w:p>
        </w:tc>
        <w:tc>
          <w:tcPr>
            <w:tcW w:w="561"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99,6</w:t>
            </w:r>
          </w:p>
        </w:tc>
        <w:tc>
          <w:tcPr>
            <w:tcW w:w="616"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b/>
                <w:bCs/>
                <w:sz w:val="20"/>
                <w:szCs w:val="20"/>
              </w:rPr>
            </w:pPr>
            <w:r w:rsidRPr="00DD16D8">
              <w:rPr>
                <w:rFonts w:asciiTheme="minorHAnsi" w:hAnsiTheme="minorHAnsi" w:cstheme="minorHAnsi"/>
                <w:b/>
                <w:bCs/>
                <w:sz w:val="20"/>
                <w:szCs w:val="20"/>
              </w:rPr>
              <w:t>100,0</w:t>
            </w:r>
          </w:p>
        </w:tc>
      </w:tr>
      <w:tr w:rsidR="0077719E" w:rsidRPr="0077719E" w:rsidTr="00DD16D8">
        <w:trPr>
          <w:trHeight w:val="255"/>
        </w:trPr>
        <w:tc>
          <w:tcPr>
            <w:tcW w:w="1041" w:type="pct"/>
            <w:shd w:val="clear" w:color="auto" w:fill="auto"/>
            <w:vAlign w:val="bottom"/>
          </w:tcPr>
          <w:p w:rsidR="006C51FD" w:rsidRPr="0038399E" w:rsidRDefault="006C51FD" w:rsidP="005A2739">
            <w:pPr>
              <w:spacing w:line="250" w:lineRule="exact"/>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D16D8" w:rsidRDefault="006C51FD" w:rsidP="00DD16D8">
            <w:pPr>
              <w:jc w:val="right"/>
              <w:rPr>
                <w:rFonts w:asciiTheme="minorHAnsi" w:hAnsiTheme="minorHAnsi" w:cstheme="minorHAnsi"/>
                <w:bCs/>
                <w:sz w:val="20"/>
                <w:szCs w:val="20"/>
              </w:rPr>
            </w:pPr>
          </w:p>
        </w:tc>
        <w:tc>
          <w:tcPr>
            <w:tcW w:w="560" w:type="pct"/>
            <w:shd w:val="clear" w:color="auto" w:fill="auto"/>
            <w:vAlign w:val="bottom"/>
          </w:tcPr>
          <w:p w:rsidR="006C51FD" w:rsidRPr="00DD16D8" w:rsidRDefault="006C51FD" w:rsidP="00DD16D8">
            <w:pPr>
              <w:jc w:val="right"/>
              <w:rPr>
                <w:rFonts w:asciiTheme="minorHAnsi" w:hAnsiTheme="minorHAnsi" w:cstheme="minorHAnsi"/>
                <w:sz w:val="20"/>
                <w:szCs w:val="20"/>
              </w:rPr>
            </w:pPr>
          </w:p>
        </w:tc>
        <w:tc>
          <w:tcPr>
            <w:tcW w:w="542" w:type="pct"/>
            <w:shd w:val="clear" w:color="auto" w:fill="auto"/>
            <w:vAlign w:val="bottom"/>
          </w:tcPr>
          <w:p w:rsidR="006C51FD" w:rsidRPr="00DD16D8" w:rsidRDefault="006C51FD" w:rsidP="00DD16D8">
            <w:pPr>
              <w:jc w:val="right"/>
              <w:rPr>
                <w:rFonts w:asciiTheme="minorHAnsi" w:hAnsiTheme="minorHAnsi" w:cstheme="minorHAnsi"/>
                <w:sz w:val="20"/>
                <w:szCs w:val="20"/>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rPr>
            </w:pPr>
          </w:p>
        </w:tc>
        <w:tc>
          <w:tcPr>
            <w:tcW w:w="561" w:type="pct"/>
            <w:shd w:val="clear" w:color="auto" w:fill="auto"/>
            <w:vAlign w:val="bottom"/>
          </w:tcPr>
          <w:p w:rsidR="006C51FD" w:rsidRPr="00DD16D8" w:rsidRDefault="006C51FD" w:rsidP="00DD16D8">
            <w:pPr>
              <w:jc w:val="right"/>
              <w:rPr>
                <w:rFonts w:asciiTheme="minorHAnsi" w:hAnsiTheme="minorHAnsi" w:cstheme="minorHAnsi"/>
                <w:sz w:val="20"/>
                <w:szCs w:val="20"/>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rPr>
            </w:pP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4"/>
              <w:rPr>
                <w:rFonts w:asciiTheme="minorHAnsi" w:hAnsiTheme="minorHAnsi"/>
                <w:bCs/>
                <w:sz w:val="20"/>
                <w:szCs w:val="20"/>
              </w:rPr>
            </w:pPr>
            <w:proofErr w:type="spellStart"/>
            <w:r w:rsidRPr="0038399E">
              <w:rPr>
                <w:rFonts w:asciiTheme="minorHAnsi" w:hAnsiTheme="minorHAnsi"/>
                <w:bCs/>
                <w:sz w:val="20"/>
                <w:szCs w:val="20"/>
              </w:rPr>
              <w:t>Живi</w:t>
            </w:r>
            <w:proofErr w:type="spellEnd"/>
            <w:r w:rsidRPr="0038399E">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lang w:eastAsia="uk-UA"/>
              </w:rPr>
            </w:pPr>
            <w:r w:rsidRPr="0038399E">
              <w:rPr>
                <w:rFonts w:asciiTheme="minorHAnsi" w:hAnsiTheme="minorHAnsi"/>
                <w:bCs/>
                <w:sz w:val="20"/>
                <w:szCs w:val="20"/>
              </w:rPr>
              <w:t>I</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9209,7</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114,6</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1,0</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20511,4</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127,1</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1,8</w:t>
            </w:r>
          </w:p>
        </w:tc>
      </w:tr>
      <w:tr w:rsidR="0077719E" w:rsidRPr="0077719E" w:rsidTr="00DD16D8">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0"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2"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142"/>
              <w:rPr>
                <w:rFonts w:asciiTheme="minorHAnsi" w:hAnsiTheme="minorHAnsi"/>
                <w:bCs/>
                <w:sz w:val="20"/>
                <w:szCs w:val="20"/>
              </w:rPr>
            </w:pPr>
            <w:r w:rsidRPr="0038399E">
              <w:rPr>
                <w:rFonts w:asciiTheme="minorHAnsi" w:hAnsiTheme="minorHAnsi"/>
                <w:bCs/>
                <w:sz w:val="20"/>
                <w:szCs w:val="20"/>
              </w:rPr>
              <w:t>риба і ракоподібні</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13880,2</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112,4</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1,2</w:t>
            </w: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142"/>
              <w:rPr>
                <w:rFonts w:asciiTheme="minorHAnsi" w:hAnsiTheme="minorHAnsi"/>
                <w:bCs/>
                <w:sz w:val="20"/>
                <w:szCs w:val="20"/>
              </w:rPr>
            </w:pPr>
            <w:r w:rsidRPr="0038399E">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7807,0</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105,3</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0,9</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4119,1</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301,3</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0,4</w:t>
            </w: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4"/>
              <w:rPr>
                <w:rFonts w:asciiTheme="minorHAnsi" w:hAnsiTheme="minorHAnsi"/>
                <w:sz w:val="20"/>
                <w:szCs w:val="20"/>
              </w:rPr>
            </w:pPr>
            <w:r w:rsidRPr="0038399E">
              <w:rPr>
                <w:rFonts w:asciiTheme="minorHAnsi" w:hAnsiTheme="minorHAnsi"/>
                <w:bCs/>
                <w:sz w:val="20"/>
                <w:szCs w:val="20"/>
              </w:rPr>
              <w:t>Продукти рослинного походження</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148150,3</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88,9</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16,8</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34507,9</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117,3</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3,1</w:t>
            </w:r>
          </w:p>
        </w:tc>
      </w:tr>
      <w:tr w:rsidR="0077719E" w:rsidRPr="0077719E" w:rsidTr="00DD16D8">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0"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2"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142"/>
              <w:rPr>
                <w:rFonts w:asciiTheme="minorHAnsi" w:hAnsiTheme="minorHAnsi"/>
                <w:bCs/>
                <w:sz w:val="20"/>
                <w:szCs w:val="20"/>
              </w:rPr>
            </w:pPr>
            <w:r w:rsidRPr="0038399E">
              <w:rPr>
                <w:rFonts w:asciiTheme="minorHAnsi" w:hAnsiTheme="minorHAnsi"/>
                <w:bCs/>
                <w:sz w:val="20"/>
                <w:szCs w:val="20"/>
              </w:rPr>
              <w:t>кава, чай</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09</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1592,3</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107,6</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0,2</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10794,4</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100,7</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w:t>
            </w: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142"/>
              <w:rPr>
                <w:rFonts w:asciiTheme="minorHAnsi" w:hAnsiTheme="minorHAnsi"/>
                <w:bCs/>
                <w:sz w:val="20"/>
                <w:szCs w:val="20"/>
              </w:rPr>
            </w:pPr>
            <w:r w:rsidRPr="0038399E">
              <w:rPr>
                <w:rFonts w:asciiTheme="minorHAnsi" w:hAnsiTheme="minorHAnsi"/>
                <w:bCs/>
                <w:sz w:val="20"/>
                <w:szCs w:val="20"/>
              </w:rPr>
              <w:t>зернові культури</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rPr>
            </w:pPr>
            <w:r w:rsidRPr="0038399E">
              <w:rPr>
                <w:rFonts w:asciiTheme="minorHAnsi" w:hAnsiTheme="minorHAnsi"/>
                <w:sz w:val="20"/>
                <w:szCs w:val="20"/>
              </w:rPr>
              <w:t>10</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109732,6</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112,4</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12,5</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4875,8</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243,3</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0,4</w:t>
            </w: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4"/>
              <w:rPr>
                <w:rFonts w:asciiTheme="minorHAnsi" w:hAnsiTheme="minorHAnsi"/>
                <w:bCs/>
                <w:sz w:val="20"/>
                <w:szCs w:val="20"/>
              </w:rPr>
            </w:pPr>
            <w:r w:rsidRPr="0038399E">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ІІІ. 15</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79453,2</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131,3</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9,0</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6111,4</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98,4</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0,5</w:t>
            </w:r>
          </w:p>
        </w:tc>
      </w:tr>
      <w:tr w:rsidR="001A1D7A" w:rsidRPr="0077719E" w:rsidTr="00DD16D8">
        <w:trPr>
          <w:trHeight w:val="255"/>
        </w:trPr>
        <w:tc>
          <w:tcPr>
            <w:tcW w:w="1041" w:type="pct"/>
            <w:shd w:val="clear" w:color="auto" w:fill="auto"/>
            <w:vAlign w:val="bottom"/>
          </w:tcPr>
          <w:p w:rsidR="001A1D7A" w:rsidRPr="0038399E" w:rsidRDefault="001A1D7A" w:rsidP="001C3358">
            <w:pPr>
              <w:spacing w:line="250" w:lineRule="exact"/>
              <w:ind w:left="-4"/>
              <w:rPr>
                <w:rFonts w:asciiTheme="minorHAnsi" w:hAnsiTheme="minorHAnsi"/>
                <w:sz w:val="20"/>
                <w:szCs w:val="20"/>
              </w:rPr>
            </w:pPr>
            <w:r w:rsidRPr="0038399E">
              <w:rPr>
                <w:rFonts w:asciiTheme="minorHAnsi" w:hAnsiTheme="minorHAnsi"/>
                <w:bCs/>
                <w:sz w:val="20"/>
                <w:szCs w:val="20"/>
              </w:rPr>
              <w:t>Готові харчові продукти</w:t>
            </w:r>
          </w:p>
        </w:tc>
        <w:tc>
          <w:tcPr>
            <w:tcW w:w="483" w:type="pct"/>
            <w:shd w:val="clear" w:color="auto" w:fill="auto"/>
            <w:vAlign w:val="bottom"/>
          </w:tcPr>
          <w:p w:rsidR="001A1D7A" w:rsidRPr="0038399E" w:rsidRDefault="001A1D7A"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w:t>
            </w:r>
            <w:r w:rsidRPr="0038399E">
              <w:rPr>
                <w:rFonts w:asciiTheme="minorHAnsi" w:hAnsiTheme="minorHAnsi"/>
                <w:bCs/>
                <w:sz w:val="20"/>
                <w:szCs w:val="20"/>
              </w:rPr>
              <w:t>V</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211366,5</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109,3</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24,0</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109657,9</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113,4</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9,8</w:t>
            </w:r>
          </w:p>
        </w:tc>
      </w:tr>
      <w:tr w:rsidR="009B11CC" w:rsidRPr="0077719E" w:rsidTr="00DD16D8">
        <w:trPr>
          <w:trHeight w:val="255"/>
        </w:trPr>
        <w:tc>
          <w:tcPr>
            <w:tcW w:w="1041" w:type="pct"/>
            <w:shd w:val="clear" w:color="auto" w:fill="auto"/>
            <w:vAlign w:val="bottom"/>
          </w:tcPr>
          <w:p w:rsidR="009B11CC" w:rsidRPr="0077719E" w:rsidRDefault="009B11CC" w:rsidP="009B11CC">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9B11CC" w:rsidRPr="001C3358"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lang w:eastAsia="uk-UA"/>
              </w:rPr>
            </w:pPr>
          </w:p>
        </w:tc>
        <w:tc>
          <w:tcPr>
            <w:tcW w:w="560"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rPr>
            </w:pPr>
          </w:p>
        </w:tc>
        <w:tc>
          <w:tcPr>
            <w:tcW w:w="542"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rPr>
            </w:pPr>
          </w:p>
        </w:tc>
        <w:tc>
          <w:tcPr>
            <w:tcW w:w="616"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rPr>
            </w:pPr>
          </w:p>
        </w:tc>
        <w:tc>
          <w:tcPr>
            <w:tcW w:w="561"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rPr>
            </w:pPr>
          </w:p>
        </w:tc>
        <w:tc>
          <w:tcPr>
            <w:tcW w:w="616" w:type="pct"/>
            <w:shd w:val="clear" w:color="auto" w:fill="auto"/>
            <w:vAlign w:val="bottom"/>
          </w:tcPr>
          <w:p w:rsidR="009B11CC" w:rsidRPr="00DD16D8" w:rsidRDefault="009B11CC" w:rsidP="00DD16D8">
            <w:pPr>
              <w:jc w:val="right"/>
              <w:rPr>
                <w:rFonts w:asciiTheme="minorHAnsi" w:hAnsiTheme="minorHAnsi" w:cstheme="minorHAnsi"/>
                <w:i/>
                <w:color w:val="FF0000"/>
                <w:sz w:val="20"/>
                <w:szCs w:val="20"/>
              </w:rPr>
            </w:pPr>
          </w:p>
        </w:tc>
      </w:tr>
      <w:tr w:rsidR="001A1D7A" w:rsidRPr="0077719E" w:rsidTr="00DD16D8">
        <w:trPr>
          <w:trHeight w:val="255"/>
        </w:trPr>
        <w:tc>
          <w:tcPr>
            <w:tcW w:w="1041" w:type="pct"/>
            <w:shd w:val="clear" w:color="auto" w:fill="auto"/>
            <w:vAlign w:val="bottom"/>
          </w:tcPr>
          <w:p w:rsidR="001A1D7A" w:rsidRPr="0038399E" w:rsidRDefault="001A1D7A" w:rsidP="002C05F2">
            <w:pPr>
              <w:spacing w:line="250" w:lineRule="exact"/>
              <w:ind w:left="142"/>
              <w:rPr>
                <w:rFonts w:asciiTheme="minorHAnsi" w:hAnsiTheme="minorHAnsi"/>
                <w:bCs/>
                <w:sz w:val="20"/>
                <w:szCs w:val="20"/>
              </w:rPr>
            </w:pPr>
            <w:r w:rsidRPr="0038399E">
              <w:rPr>
                <w:rFonts w:asciiTheme="minorHAnsi" w:hAnsiTheme="minorHAnsi"/>
                <w:bCs/>
                <w:sz w:val="20"/>
                <w:szCs w:val="20"/>
              </w:rPr>
              <w:t>тютюн і промислові замінники тютюну</w:t>
            </w:r>
          </w:p>
        </w:tc>
        <w:tc>
          <w:tcPr>
            <w:tcW w:w="483" w:type="pct"/>
            <w:shd w:val="clear" w:color="auto" w:fill="auto"/>
            <w:vAlign w:val="bottom"/>
          </w:tcPr>
          <w:p w:rsidR="001A1D7A" w:rsidRPr="0038399E" w:rsidRDefault="001A1D7A"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24</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1A1D7A" w:rsidRPr="0077719E" w:rsidTr="00DD16D8">
        <w:trPr>
          <w:trHeight w:val="255"/>
        </w:trPr>
        <w:tc>
          <w:tcPr>
            <w:tcW w:w="1041" w:type="pct"/>
            <w:shd w:val="clear" w:color="auto" w:fill="auto"/>
            <w:vAlign w:val="bottom"/>
          </w:tcPr>
          <w:p w:rsidR="001A1D7A" w:rsidRPr="0038399E" w:rsidRDefault="001A1D7A" w:rsidP="002C05F2">
            <w:pPr>
              <w:spacing w:line="250" w:lineRule="exact"/>
              <w:ind w:left="-4"/>
              <w:rPr>
                <w:rFonts w:asciiTheme="minorHAnsi" w:hAnsiTheme="minorHAnsi"/>
                <w:sz w:val="20"/>
                <w:szCs w:val="20"/>
              </w:rPr>
            </w:pPr>
            <w:r w:rsidRPr="0038399E">
              <w:rPr>
                <w:rFonts w:asciiTheme="minorHAnsi" w:hAnsiTheme="minorHAnsi"/>
                <w:bCs/>
                <w:sz w:val="20"/>
                <w:szCs w:val="20"/>
              </w:rPr>
              <w:t>Мінеральні продукти</w:t>
            </w:r>
          </w:p>
        </w:tc>
        <w:tc>
          <w:tcPr>
            <w:tcW w:w="483" w:type="pct"/>
            <w:shd w:val="clear" w:color="auto" w:fill="auto"/>
            <w:vAlign w:val="bottom"/>
          </w:tcPr>
          <w:p w:rsidR="001A1D7A" w:rsidRPr="0038399E" w:rsidRDefault="001A1D7A"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3354,3</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80,2</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0,4</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53127,5</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89,2</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4,8</w:t>
            </w:r>
          </w:p>
        </w:tc>
      </w:tr>
      <w:tr w:rsidR="0077719E" w:rsidRPr="0077719E" w:rsidTr="00DD16D8">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0"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2"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41" w:type="pct"/>
            <w:shd w:val="clear" w:color="auto" w:fill="auto"/>
            <w:vAlign w:val="bottom"/>
          </w:tcPr>
          <w:p w:rsidR="001A1D7A" w:rsidRPr="0038399E" w:rsidRDefault="001A1D7A" w:rsidP="002C05F2">
            <w:pPr>
              <w:spacing w:line="250" w:lineRule="exact"/>
              <w:ind w:left="142"/>
              <w:rPr>
                <w:rFonts w:asciiTheme="minorHAnsi" w:hAnsiTheme="minorHAnsi"/>
                <w:bCs/>
                <w:sz w:val="20"/>
                <w:szCs w:val="20"/>
              </w:rPr>
            </w:pPr>
            <w:r w:rsidRPr="0038399E">
              <w:rPr>
                <w:rFonts w:asciiTheme="minorHAnsi" w:hAnsiTheme="minorHAnsi"/>
                <w:bCs/>
                <w:sz w:val="20"/>
                <w:szCs w:val="20"/>
              </w:rPr>
              <w:t>сіль; сірка; землі та каміння</w:t>
            </w:r>
          </w:p>
        </w:tc>
        <w:tc>
          <w:tcPr>
            <w:tcW w:w="483" w:type="pct"/>
            <w:shd w:val="clear" w:color="auto" w:fill="auto"/>
            <w:vAlign w:val="bottom"/>
          </w:tcPr>
          <w:p w:rsidR="001A1D7A" w:rsidRPr="0038399E" w:rsidRDefault="001A1D7A"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25</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2290,4</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80,9</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0,3</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2312,6</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20,4</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0,2</w:t>
            </w:r>
          </w:p>
        </w:tc>
      </w:tr>
      <w:tr w:rsidR="001A1D7A" w:rsidRPr="0077719E" w:rsidTr="00DD16D8">
        <w:trPr>
          <w:trHeight w:val="255"/>
        </w:trPr>
        <w:tc>
          <w:tcPr>
            <w:tcW w:w="1041" w:type="pct"/>
            <w:shd w:val="clear" w:color="auto" w:fill="auto"/>
            <w:vAlign w:val="bottom"/>
          </w:tcPr>
          <w:p w:rsidR="001A1D7A" w:rsidRPr="0038399E" w:rsidRDefault="001A1D7A" w:rsidP="002C05F2">
            <w:pPr>
              <w:spacing w:line="250" w:lineRule="exact"/>
              <w:ind w:left="142"/>
              <w:rPr>
                <w:rFonts w:asciiTheme="minorHAnsi" w:hAnsiTheme="minorHAnsi"/>
                <w:bCs/>
                <w:sz w:val="20"/>
                <w:szCs w:val="20"/>
              </w:rPr>
            </w:pPr>
            <w:r w:rsidRPr="0038399E">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1A1D7A" w:rsidRPr="0038399E" w:rsidRDefault="001A1D7A" w:rsidP="002C05F2">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27</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1063,9</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78,8</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0,1</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50656,6</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105,6</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4,5</w:t>
            </w:r>
          </w:p>
        </w:tc>
      </w:tr>
      <w:tr w:rsidR="001A1D7A" w:rsidRPr="0077719E" w:rsidTr="00DD16D8">
        <w:trPr>
          <w:trHeight w:val="255"/>
        </w:trPr>
        <w:tc>
          <w:tcPr>
            <w:tcW w:w="1041" w:type="pct"/>
            <w:shd w:val="clear" w:color="auto" w:fill="auto"/>
            <w:vAlign w:val="bottom"/>
          </w:tcPr>
          <w:p w:rsidR="001A1D7A" w:rsidRPr="0038399E" w:rsidRDefault="001A1D7A" w:rsidP="002C05F2">
            <w:pPr>
              <w:spacing w:line="250" w:lineRule="exact"/>
              <w:ind w:left="-4"/>
              <w:rPr>
                <w:rFonts w:asciiTheme="minorHAnsi" w:hAnsiTheme="minorHAnsi"/>
                <w:sz w:val="20"/>
                <w:szCs w:val="20"/>
              </w:rPr>
            </w:pPr>
            <w:r w:rsidRPr="0038399E">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1A1D7A" w:rsidRPr="0038399E" w:rsidRDefault="001A1D7A"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VI</w:t>
            </w:r>
          </w:p>
        </w:tc>
        <w:tc>
          <w:tcPr>
            <w:tcW w:w="58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38444,5</w:t>
            </w:r>
          </w:p>
        </w:tc>
        <w:tc>
          <w:tcPr>
            <w:tcW w:w="560"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89,1</w:t>
            </w:r>
          </w:p>
        </w:tc>
        <w:tc>
          <w:tcPr>
            <w:tcW w:w="542"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4,4</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127082,5</w:t>
            </w:r>
          </w:p>
        </w:tc>
        <w:tc>
          <w:tcPr>
            <w:tcW w:w="561"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95,2</w:t>
            </w:r>
          </w:p>
        </w:tc>
        <w:tc>
          <w:tcPr>
            <w:tcW w:w="616"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11,4</w:t>
            </w:r>
          </w:p>
        </w:tc>
      </w:tr>
      <w:tr w:rsidR="0077719E" w:rsidRPr="0077719E" w:rsidTr="00DD16D8">
        <w:trPr>
          <w:trHeight w:val="255"/>
        </w:trPr>
        <w:tc>
          <w:tcPr>
            <w:tcW w:w="1041" w:type="pct"/>
            <w:shd w:val="clear" w:color="auto" w:fill="auto"/>
            <w:vAlign w:val="bottom"/>
          </w:tcPr>
          <w:p w:rsidR="006C51FD" w:rsidRPr="0077719E" w:rsidRDefault="006C51FD" w:rsidP="005A2739">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6C51FD" w:rsidRPr="007771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0"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2"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1"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61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41" w:type="pct"/>
            <w:shd w:val="clear" w:color="auto" w:fill="auto"/>
            <w:vAlign w:val="bottom"/>
          </w:tcPr>
          <w:p w:rsidR="001A1D7A" w:rsidRDefault="001A1D7A" w:rsidP="008E0B1B">
            <w:pPr>
              <w:spacing w:line="250" w:lineRule="exact"/>
              <w:ind w:firstLine="142"/>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органiчнi</w:t>
            </w:r>
            <w:proofErr w:type="spellEnd"/>
            <w:r>
              <w:rPr>
                <w:rFonts w:asciiTheme="minorHAnsi" w:hAnsiTheme="minorHAnsi" w:cstheme="minorHAnsi"/>
                <w:color w:val="000000"/>
                <w:sz w:val="20"/>
                <w:szCs w:val="20"/>
              </w:rPr>
              <w:t xml:space="preserve"> хімічні</w:t>
            </w:r>
          </w:p>
          <w:p w:rsidR="001A1D7A" w:rsidRPr="008E0B1B" w:rsidRDefault="001A1D7A" w:rsidP="008E0B1B">
            <w:pPr>
              <w:spacing w:line="250" w:lineRule="exact"/>
              <w:ind w:firstLine="142"/>
              <w:rPr>
                <w:rFonts w:asciiTheme="minorHAnsi" w:hAnsiTheme="minorHAnsi" w:cstheme="minorHAnsi"/>
                <w:bCs/>
                <w:sz w:val="20"/>
                <w:szCs w:val="20"/>
              </w:rPr>
            </w:pPr>
            <w:r w:rsidRPr="008E0B1B">
              <w:rPr>
                <w:rFonts w:asciiTheme="minorHAnsi" w:hAnsiTheme="minorHAnsi" w:cstheme="minorHAnsi"/>
                <w:color w:val="000000"/>
                <w:sz w:val="20"/>
                <w:szCs w:val="20"/>
              </w:rPr>
              <w:t>сполуки</w:t>
            </w:r>
          </w:p>
        </w:tc>
        <w:tc>
          <w:tcPr>
            <w:tcW w:w="483" w:type="pct"/>
            <w:shd w:val="clear" w:color="auto" w:fill="auto"/>
            <w:vAlign w:val="bottom"/>
          </w:tcPr>
          <w:p w:rsidR="001A1D7A" w:rsidRPr="0077719E" w:rsidRDefault="001A1D7A" w:rsidP="005A2739">
            <w:pPr>
              <w:spacing w:line="250" w:lineRule="exact"/>
              <w:jc w:val="center"/>
              <w:rPr>
                <w:rFonts w:asciiTheme="minorHAnsi" w:hAnsiTheme="minorHAnsi"/>
                <w:bCs/>
                <w:sz w:val="20"/>
                <w:szCs w:val="20"/>
              </w:rPr>
            </w:pPr>
            <w:r w:rsidRPr="008E0B1B">
              <w:rPr>
                <w:rFonts w:asciiTheme="minorHAnsi" w:hAnsiTheme="minorHAnsi"/>
                <w:bCs/>
                <w:sz w:val="20"/>
                <w:szCs w:val="20"/>
              </w:rPr>
              <w:t>29</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901,9</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174,9</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0,1</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31563,0</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107,5</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2,8</w:t>
            </w:r>
          </w:p>
        </w:tc>
      </w:tr>
      <w:tr w:rsidR="001A1D7A" w:rsidRPr="0077719E" w:rsidTr="00DD16D8">
        <w:trPr>
          <w:trHeight w:val="255"/>
        </w:trPr>
        <w:tc>
          <w:tcPr>
            <w:tcW w:w="1041" w:type="pct"/>
            <w:shd w:val="clear" w:color="auto" w:fill="FFFFFF" w:themeFill="background1"/>
            <w:vAlign w:val="bottom"/>
          </w:tcPr>
          <w:p w:rsidR="001A1D7A" w:rsidRPr="001553EC" w:rsidRDefault="001A1D7A" w:rsidP="002C05F2">
            <w:pPr>
              <w:spacing w:line="250" w:lineRule="exact"/>
              <w:ind w:left="142"/>
              <w:rPr>
                <w:rFonts w:asciiTheme="minorHAnsi" w:hAnsiTheme="minorHAnsi" w:cs="Calibri"/>
                <w:sz w:val="20"/>
                <w:szCs w:val="20"/>
              </w:rPr>
            </w:pPr>
            <w:r w:rsidRPr="001553EC">
              <w:rPr>
                <w:rFonts w:asciiTheme="minorHAnsi" w:hAnsiTheme="minorHAnsi" w:cs="Calibri"/>
                <w:sz w:val="20"/>
                <w:szCs w:val="20"/>
              </w:rPr>
              <w:t>фармацевтична продукція</w:t>
            </w:r>
          </w:p>
        </w:tc>
        <w:tc>
          <w:tcPr>
            <w:tcW w:w="483" w:type="pct"/>
            <w:shd w:val="clear" w:color="auto" w:fill="auto"/>
            <w:vAlign w:val="bottom"/>
          </w:tcPr>
          <w:p w:rsidR="001A1D7A" w:rsidRPr="001553EC" w:rsidRDefault="001A1D7A"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30</w:t>
            </w:r>
          </w:p>
        </w:tc>
        <w:tc>
          <w:tcPr>
            <w:tcW w:w="58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14234,0</w:t>
            </w:r>
          </w:p>
        </w:tc>
        <w:tc>
          <w:tcPr>
            <w:tcW w:w="560"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120,0</w:t>
            </w:r>
          </w:p>
        </w:tc>
        <w:tc>
          <w:tcPr>
            <w:tcW w:w="542"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1,6</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31123,6</w:t>
            </w:r>
          </w:p>
        </w:tc>
        <w:tc>
          <w:tcPr>
            <w:tcW w:w="561"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101,9</w:t>
            </w:r>
          </w:p>
        </w:tc>
        <w:tc>
          <w:tcPr>
            <w:tcW w:w="616"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2,8</w:t>
            </w:r>
          </w:p>
        </w:tc>
      </w:tr>
    </w:tbl>
    <w:p w:rsidR="00DF15CA" w:rsidRPr="0077719E" w:rsidRDefault="00DF15CA" w:rsidP="00DF15CA">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7719E"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w:t>
            </w:r>
            <w:r w:rsidR="00DF15CA" w:rsidRPr="0077719E">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D33AF"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D33AF"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DF15CA" w:rsidRPr="0077719E" w:rsidRDefault="00DF15CA"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1A1D7A" w:rsidRPr="0077719E" w:rsidTr="00DD16D8">
        <w:trPr>
          <w:trHeight w:val="255"/>
        </w:trPr>
        <w:tc>
          <w:tcPr>
            <w:tcW w:w="1082" w:type="pct"/>
            <w:tcBorders>
              <w:top w:val="single" w:sz="4" w:space="0" w:color="auto"/>
            </w:tcBorders>
            <w:shd w:val="clear" w:color="auto" w:fill="auto"/>
            <w:vAlign w:val="bottom"/>
          </w:tcPr>
          <w:p w:rsidR="001A1D7A" w:rsidRPr="0038399E" w:rsidRDefault="001A1D7A" w:rsidP="00AF321D">
            <w:pPr>
              <w:spacing w:line="240" w:lineRule="exact"/>
              <w:ind w:left="-4"/>
              <w:rPr>
                <w:rFonts w:asciiTheme="minorHAnsi" w:hAnsiTheme="minorHAnsi"/>
                <w:sz w:val="20"/>
                <w:szCs w:val="20"/>
              </w:rPr>
            </w:pPr>
            <w:r w:rsidRPr="0038399E">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w:t>
            </w:r>
          </w:p>
        </w:tc>
        <w:tc>
          <w:tcPr>
            <w:tcW w:w="573"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32360,2</w:t>
            </w:r>
          </w:p>
        </w:tc>
        <w:tc>
          <w:tcPr>
            <w:tcW w:w="577" w:type="pct"/>
            <w:gridSpan w:val="2"/>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107,5</w:t>
            </w:r>
          </w:p>
        </w:tc>
        <w:tc>
          <w:tcPr>
            <w:tcW w:w="573"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3,7</w:t>
            </w:r>
          </w:p>
        </w:tc>
        <w:tc>
          <w:tcPr>
            <w:tcW w:w="575"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163804,6</w:t>
            </w:r>
          </w:p>
        </w:tc>
        <w:tc>
          <w:tcPr>
            <w:tcW w:w="574"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101,9</w:t>
            </w:r>
          </w:p>
        </w:tc>
        <w:tc>
          <w:tcPr>
            <w:tcW w:w="544" w:type="pct"/>
            <w:tcBorders>
              <w:top w:val="single" w:sz="4" w:space="0" w:color="auto"/>
            </w:tcBorders>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14,7</w:t>
            </w:r>
          </w:p>
        </w:tc>
      </w:tr>
      <w:tr w:rsidR="001A1D7A" w:rsidRPr="0077719E" w:rsidTr="00DD16D8">
        <w:trPr>
          <w:trHeight w:val="255"/>
        </w:trPr>
        <w:tc>
          <w:tcPr>
            <w:tcW w:w="1082" w:type="pct"/>
            <w:shd w:val="clear" w:color="auto" w:fill="auto"/>
            <w:vAlign w:val="bottom"/>
          </w:tcPr>
          <w:p w:rsidR="001A1D7A" w:rsidRPr="0038399E" w:rsidRDefault="001A1D7A"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1A1D7A" w:rsidRPr="0038399E"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p>
        </w:tc>
      </w:tr>
      <w:tr w:rsidR="001A1D7A" w:rsidRPr="0077719E" w:rsidTr="00DD16D8">
        <w:trPr>
          <w:trHeight w:val="494"/>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пластмаси, полімерні матеріали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39</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30759,5</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107,5</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3,5</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103204,9</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98,6</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9,2</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Шкури необроблені, шкіра вичинена</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VIII</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711,3</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91,0</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0,1</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2424,3</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127,5</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0,2</w:t>
            </w:r>
          </w:p>
        </w:tc>
      </w:tr>
      <w:tr w:rsidR="0077719E" w:rsidRPr="0077719E" w:rsidTr="00DD16D8">
        <w:trPr>
          <w:trHeight w:val="255"/>
        </w:trPr>
        <w:tc>
          <w:tcPr>
            <w:tcW w:w="1082" w:type="pct"/>
            <w:shd w:val="clear" w:color="auto" w:fill="auto"/>
            <w:vAlign w:val="bottom"/>
          </w:tcPr>
          <w:p w:rsidR="006C51FD" w:rsidRPr="0038399E" w:rsidRDefault="006C51FD"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вироби із шкіри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bCs/>
                <w:sz w:val="20"/>
                <w:szCs w:val="20"/>
              </w:rPr>
            </w:pPr>
            <w:r w:rsidRPr="0038399E">
              <w:rPr>
                <w:rFonts w:asciiTheme="minorHAnsi" w:hAnsiTheme="minorHAnsi"/>
                <w:bCs/>
                <w:sz w:val="20"/>
                <w:szCs w:val="20"/>
              </w:rPr>
              <w:t>42</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84,9</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72,8</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0,0</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1806,5</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148,8</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0,2</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натуральне та штучне хутро</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bCs/>
                <w:sz w:val="20"/>
                <w:szCs w:val="20"/>
              </w:rPr>
            </w:pPr>
            <w:r w:rsidRPr="0038399E">
              <w:rPr>
                <w:rFonts w:asciiTheme="minorHAnsi" w:hAnsiTheme="minorHAnsi"/>
                <w:bCs/>
                <w:sz w:val="20"/>
                <w:szCs w:val="20"/>
              </w:rPr>
              <w:t>43</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76,5</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304,8</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0,0</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IX</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11443,3</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78,0</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1,3</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8159,6</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160,8</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0,7</w:t>
            </w:r>
          </w:p>
        </w:tc>
      </w:tr>
      <w:tr w:rsidR="0077719E" w:rsidRPr="0077719E" w:rsidTr="00DD16D8">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bCs/>
                <w:sz w:val="20"/>
                <w:szCs w:val="20"/>
              </w:rPr>
            </w:pPr>
            <w:r w:rsidRPr="0038399E">
              <w:rPr>
                <w:rFonts w:asciiTheme="minorHAnsi" w:hAnsiTheme="minorHAnsi"/>
                <w:bCs/>
                <w:sz w:val="20"/>
                <w:szCs w:val="20"/>
              </w:rPr>
              <w:t>44</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11432,7</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78,0</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8131,8</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161,3</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0,7</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12777,2</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119,2</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1,5</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52363,6</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88,5</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4,7</w:t>
            </w:r>
          </w:p>
        </w:tc>
      </w:tr>
      <w:tr w:rsidR="0077719E" w:rsidRPr="0077719E" w:rsidTr="00DD16D8">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4" w:firstLine="146"/>
              <w:rPr>
                <w:rFonts w:asciiTheme="minorHAnsi" w:hAnsiTheme="minorHAnsi"/>
                <w:sz w:val="20"/>
                <w:szCs w:val="20"/>
              </w:rPr>
            </w:pPr>
            <w:r w:rsidRPr="0038399E">
              <w:rPr>
                <w:rFonts w:asciiTheme="minorHAnsi" w:hAnsiTheme="minorHAnsi"/>
                <w:bCs/>
                <w:sz w:val="20"/>
                <w:szCs w:val="20"/>
              </w:rPr>
              <w:t>папір та картон</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48</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9274,6</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121,4</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51976,6</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88,4</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4,7</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ХI</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27318,7</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86,6</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3,1</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62026,0</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114,6</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5,5</w:t>
            </w:r>
          </w:p>
        </w:tc>
      </w:tr>
      <w:tr w:rsidR="0077719E" w:rsidRPr="0077719E" w:rsidTr="00DD16D8">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1514,8</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101,3</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0,2</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15993,2</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93,7</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вата</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rPr>
            </w:pPr>
            <w:r w:rsidRPr="0038399E">
              <w:rPr>
                <w:rFonts w:asciiTheme="minorHAnsi" w:hAnsiTheme="minorHAnsi"/>
                <w:sz w:val="20"/>
                <w:szCs w:val="20"/>
              </w:rPr>
              <w:t>56</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13594,6</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83,4</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5128,3</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143,5</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0,5</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5858,0</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93,3</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0,7</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3342,1</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137,8</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0,3</w:t>
            </w:r>
          </w:p>
        </w:tc>
      </w:tr>
      <w:tr w:rsidR="0077719E" w:rsidRPr="0077719E" w:rsidTr="00DD16D8">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взуття</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688,1</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161,6</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0,1</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2837,6</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130,3</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0,3</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парасольки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66</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345,6</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599,4</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0,0</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XIII</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28601,3</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92,9</w:t>
            </w:r>
          </w:p>
        </w:tc>
        <w:tc>
          <w:tcPr>
            <w:tcW w:w="573"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3,2</w:t>
            </w:r>
          </w:p>
        </w:tc>
        <w:tc>
          <w:tcPr>
            <w:tcW w:w="575"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20420,2</w:t>
            </w:r>
          </w:p>
        </w:tc>
        <w:tc>
          <w:tcPr>
            <w:tcW w:w="57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86,8</w:t>
            </w:r>
          </w:p>
        </w:tc>
        <w:tc>
          <w:tcPr>
            <w:tcW w:w="544" w:type="pct"/>
            <w:shd w:val="clear" w:color="auto" w:fill="auto"/>
            <w:vAlign w:val="bottom"/>
          </w:tcPr>
          <w:p w:rsidR="001A1D7A" w:rsidRPr="00DD16D8" w:rsidRDefault="001A1D7A" w:rsidP="00DD16D8">
            <w:pPr>
              <w:jc w:val="right"/>
              <w:rPr>
                <w:rFonts w:asciiTheme="minorHAnsi" w:hAnsiTheme="minorHAnsi" w:cstheme="minorHAnsi"/>
                <w:sz w:val="20"/>
                <w:szCs w:val="20"/>
              </w:rPr>
            </w:pPr>
            <w:r w:rsidRPr="00DD16D8">
              <w:rPr>
                <w:rFonts w:asciiTheme="minorHAnsi" w:hAnsiTheme="minorHAnsi" w:cstheme="minorHAnsi"/>
                <w:sz w:val="20"/>
                <w:szCs w:val="20"/>
              </w:rPr>
              <w:t>1,8</w:t>
            </w:r>
          </w:p>
        </w:tc>
      </w:tr>
      <w:tr w:rsidR="0077719E" w:rsidRPr="0077719E" w:rsidTr="00DD16D8">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3"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5"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44"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bCs/>
                <w:sz w:val="20"/>
                <w:szCs w:val="20"/>
              </w:rPr>
            </w:pPr>
            <w:r w:rsidRPr="0038399E">
              <w:rPr>
                <w:rFonts w:asciiTheme="minorHAnsi" w:hAnsiTheme="minorHAnsi"/>
                <w:bCs/>
                <w:sz w:val="20"/>
                <w:szCs w:val="20"/>
              </w:rPr>
              <w:t>керамічні вироби</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69</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17798,4</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89,8</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2,0</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3471,1</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62,9</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0,3</w:t>
            </w:r>
          </w:p>
        </w:tc>
      </w:tr>
      <w:tr w:rsidR="001A1D7A" w:rsidRPr="0077719E" w:rsidTr="00DD16D8">
        <w:trPr>
          <w:trHeight w:val="255"/>
        </w:trPr>
        <w:tc>
          <w:tcPr>
            <w:tcW w:w="1082" w:type="pct"/>
            <w:shd w:val="clear" w:color="auto" w:fill="auto"/>
            <w:vAlign w:val="bottom"/>
          </w:tcPr>
          <w:p w:rsidR="001A1D7A" w:rsidRPr="0038399E" w:rsidRDefault="001A1D7A" w:rsidP="00AF321D">
            <w:pPr>
              <w:spacing w:line="240" w:lineRule="exact"/>
              <w:ind w:left="142"/>
              <w:rPr>
                <w:rFonts w:asciiTheme="minorHAnsi" w:hAnsiTheme="minorHAnsi" w:cstheme="minorHAnsi"/>
                <w:bCs/>
                <w:sz w:val="20"/>
                <w:szCs w:val="20"/>
              </w:rPr>
            </w:pPr>
            <w:r w:rsidRPr="0038399E">
              <w:rPr>
                <w:rFonts w:asciiTheme="minorHAnsi" w:hAnsiTheme="minorHAnsi" w:cstheme="minorHAnsi"/>
                <w:sz w:val="20"/>
                <w:szCs w:val="20"/>
              </w:rPr>
              <w:t>скло та вироби із скла</w:t>
            </w:r>
          </w:p>
        </w:tc>
        <w:tc>
          <w:tcPr>
            <w:tcW w:w="502" w:type="pct"/>
            <w:shd w:val="clear" w:color="auto" w:fill="auto"/>
            <w:vAlign w:val="bottom"/>
          </w:tcPr>
          <w:p w:rsidR="001A1D7A" w:rsidRPr="0038399E" w:rsidRDefault="001A1D7A"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70</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8428,3</w:t>
            </w:r>
          </w:p>
        </w:tc>
        <w:tc>
          <w:tcPr>
            <w:tcW w:w="577" w:type="pct"/>
            <w:gridSpan w:val="2"/>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95,0</w:t>
            </w:r>
          </w:p>
        </w:tc>
        <w:tc>
          <w:tcPr>
            <w:tcW w:w="573"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w:t>
            </w:r>
          </w:p>
        </w:tc>
        <w:tc>
          <w:tcPr>
            <w:tcW w:w="575"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11848,7</w:t>
            </w:r>
          </w:p>
        </w:tc>
        <w:tc>
          <w:tcPr>
            <w:tcW w:w="57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93,7</w:t>
            </w:r>
          </w:p>
        </w:tc>
        <w:tc>
          <w:tcPr>
            <w:tcW w:w="544" w:type="pct"/>
            <w:shd w:val="clear" w:color="auto" w:fill="auto"/>
            <w:vAlign w:val="bottom"/>
          </w:tcPr>
          <w:p w:rsidR="001A1D7A" w:rsidRPr="00DD16D8" w:rsidRDefault="001A1D7A"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w:t>
            </w:r>
          </w:p>
        </w:tc>
      </w:tr>
      <w:tr w:rsidR="00DD16D8" w:rsidRPr="000B4AE9" w:rsidTr="00DD16D8">
        <w:trPr>
          <w:trHeight w:val="255"/>
        </w:trPr>
        <w:tc>
          <w:tcPr>
            <w:tcW w:w="1082" w:type="pct"/>
            <w:shd w:val="clear" w:color="auto" w:fill="auto"/>
            <w:vAlign w:val="bottom"/>
          </w:tcPr>
          <w:p w:rsidR="00DD16D8" w:rsidRPr="0038399E" w:rsidRDefault="00DD16D8"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Перли природні або культивовані, дорогоцінне або </w:t>
            </w:r>
            <w:proofErr w:type="spellStart"/>
            <w:r w:rsidRPr="0038399E">
              <w:rPr>
                <w:rFonts w:asciiTheme="minorHAnsi" w:hAnsiTheme="minorHAnsi"/>
                <w:bCs/>
                <w:sz w:val="20"/>
                <w:szCs w:val="20"/>
              </w:rPr>
              <w:t>напівдорогоцінне</w:t>
            </w:r>
            <w:proofErr w:type="spellEnd"/>
            <w:r w:rsidRPr="0038399E">
              <w:rPr>
                <w:rFonts w:asciiTheme="minorHAnsi" w:hAnsiTheme="minorHAnsi"/>
                <w:bCs/>
                <w:sz w:val="20"/>
                <w:szCs w:val="20"/>
              </w:rPr>
              <w:t xml:space="preserve"> каміння</w:t>
            </w:r>
          </w:p>
        </w:tc>
        <w:tc>
          <w:tcPr>
            <w:tcW w:w="502" w:type="pct"/>
            <w:shd w:val="clear" w:color="auto" w:fill="auto"/>
            <w:vAlign w:val="bottom"/>
          </w:tcPr>
          <w:p w:rsidR="00DD16D8" w:rsidRPr="0038399E" w:rsidRDefault="00DD16D8" w:rsidP="00AF321D">
            <w:pPr>
              <w:spacing w:line="240" w:lineRule="exact"/>
              <w:jc w:val="center"/>
              <w:rPr>
                <w:rFonts w:asciiTheme="minorHAnsi" w:hAnsiTheme="minorHAnsi"/>
                <w:sz w:val="20"/>
                <w:szCs w:val="20"/>
              </w:rPr>
            </w:pPr>
            <w:r w:rsidRPr="0038399E">
              <w:rPr>
                <w:rFonts w:asciiTheme="minorHAnsi" w:hAnsiTheme="minorHAnsi"/>
                <w:bCs/>
                <w:sz w:val="20"/>
                <w:szCs w:val="20"/>
              </w:rPr>
              <w:t>XIV. 71</w:t>
            </w:r>
          </w:p>
        </w:tc>
        <w:tc>
          <w:tcPr>
            <w:tcW w:w="573"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850,3</w:t>
            </w:r>
          </w:p>
        </w:tc>
        <w:tc>
          <w:tcPr>
            <w:tcW w:w="577" w:type="pct"/>
            <w:gridSpan w:val="2"/>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87,5</w:t>
            </w:r>
          </w:p>
        </w:tc>
        <w:tc>
          <w:tcPr>
            <w:tcW w:w="573"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0,1</w:t>
            </w:r>
          </w:p>
        </w:tc>
        <w:tc>
          <w:tcPr>
            <w:tcW w:w="575"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133,1</w:t>
            </w:r>
          </w:p>
        </w:tc>
        <w:tc>
          <w:tcPr>
            <w:tcW w:w="574"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9,9</w:t>
            </w:r>
          </w:p>
        </w:tc>
        <w:tc>
          <w:tcPr>
            <w:tcW w:w="544"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0,0</w:t>
            </w:r>
          </w:p>
        </w:tc>
      </w:tr>
    </w:tbl>
    <w:p w:rsidR="00FE2B81" w:rsidRPr="0077719E" w:rsidRDefault="00FE2B81" w:rsidP="00FE2B81">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77719E"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w:t>
            </w:r>
            <w:r w:rsidR="00FE2B81" w:rsidRPr="0077719E">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D33AF"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D33AF"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серпня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FE2B81" w:rsidRPr="0077719E" w:rsidRDefault="00FE2B81"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DD16D8" w:rsidRPr="0077719E" w:rsidTr="00DD16D8">
        <w:trPr>
          <w:trHeight w:val="255"/>
        </w:trPr>
        <w:tc>
          <w:tcPr>
            <w:tcW w:w="1079" w:type="pct"/>
            <w:tcBorders>
              <w:top w:val="single" w:sz="4" w:space="0" w:color="auto"/>
            </w:tcBorders>
            <w:shd w:val="clear" w:color="auto" w:fill="auto"/>
            <w:vAlign w:val="bottom"/>
          </w:tcPr>
          <w:p w:rsidR="00DD16D8" w:rsidRPr="0038399E" w:rsidRDefault="00DD16D8" w:rsidP="00D0492B">
            <w:pPr>
              <w:spacing w:line="240" w:lineRule="exact"/>
              <w:rPr>
                <w:rFonts w:asciiTheme="minorHAnsi" w:hAnsiTheme="minorHAnsi"/>
                <w:bCs/>
                <w:sz w:val="20"/>
                <w:szCs w:val="20"/>
              </w:rPr>
            </w:pPr>
            <w:r w:rsidRPr="0038399E">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DD16D8" w:rsidRPr="0038399E" w:rsidRDefault="00DD16D8"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w:t>
            </w:r>
          </w:p>
        </w:tc>
        <w:tc>
          <w:tcPr>
            <w:tcW w:w="568"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38862,4</w:t>
            </w:r>
          </w:p>
        </w:tc>
        <w:tc>
          <w:tcPr>
            <w:tcW w:w="576"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105,5</w:t>
            </w:r>
          </w:p>
        </w:tc>
        <w:tc>
          <w:tcPr>
            <w:tcW w:w="568"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4,4</w:t>
            </w:r>
          </w:p>
        </w:tc>
        <w:tc>
          <w:tcPr>
            <w:tcW w:w="568"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93042,7</w:t>
            </w:r>
          </w:p>
        </w:tc>
        <w:tc>
          <w:tcPr>
            <w:tcW w:w="576"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90,4</w:t>
            </w:r>
          </w:p>
        </w:tc>
        <w:tc>
          <w:tcPr>
            <w:tcW w:w="568" w:type="pct"/>
            <w:tcBorders>
              <w:top w:val="single" w:sz="4" w:space="0" w:color="auto"/>
            </w:tcBorders>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8,3</w:t>
            </w:r>
          </w:p>
        </w:tc>
      </w:tr>
      <w:tr w:rsidR="0077719E" w:rsidRPr="0077719E" w:rsidTr="00DD16D8">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DD16D8" w:rsidRPr="0077719E" w:rsidTr="00DD16D8">
        <w:trPr>
          <w:trHeight w:val="255"/>
        </w:trPr>
        <w:tc>
          <w:tcPr>
            <w:tcW w:w="1079" w:type="pct"/>
            <w:shd w:val="clear" w:color="auto" w:fill="auto"/>
            <w:vAlign w:val="bottom"/>
          </w:tcPr>
          <w:p w:rsidR="00DD16D8" w:rsidRPr="0038399E" w:rsidRDefault="00DD16D8" w:rsidP="00D0492B">
            <w:pPr>
              <w:spacing w:line="240" w:lineRule="exact"/>
              <w:ind w:left="142"/>
              <w:rPr>
                <w:rFonts w:asciiTheme="minorHAnsi" w:hAnsiTheme="minorHAnsi"/>
                <w:bCs/>
                <w:sz w:val="20"/>
                <w:szCs w:val="20"/>
              </w:rPr>
            </w:pPr>
            <w:r w:rsidRPr="0038399E">
              <w:rPr>
                <w:rFonts w:asciiTheme="minorHAnsi" w:hAnsiTheme="minorHAnsi"/>
                <w:bCs/>
                <w:sz w:val="20"/>
                <w:szCs w:val="20"/>
              </w:rPr>
              <w:t>вироби з чорних металів</w:t>
            </w:r>
          </w:p>
        </w:tc>
        <w:tc>
          <w:tcPr>
            <w:tcW w:w="497" w:type="pct"/>
            <w:shd w:val="clear" w:color="auto" w:fill="auto"/>
            <w:vAlign w:val="bottom"/>
          </w:tcPr>
          <w:p w:rsidR="00DD16D8" w:rsidRPr="0038399E" w:rsidRDefault="00DD16D8" w:rsidP="00D0492B">
            <w:pPr>
              <w:spacing w:line="240" w:lineRule="exact"/>
              <w:jc w:val="center"/>
              <w:rPr>
                <w:rFonts w:asciiTheme="minorHAnsi" w:hAnsiTheme="minorHAnsi"/>
                <w:sz w:val="20"/>
                <w:szCs w:val="20"/>
              </w:rPr>
            </w:pPr>
            <w:r w:rsidRPr="0038399E">
              <w:rPr>
                <w:rFonts w:asciiTheme="minorHAnsi" w:hAnsiTheme="minorHAnsi"/>
                <w:sz w:val="20"/>
                <w:szCs w:val="20"/>
              </w:rPr>
              <w:t>73</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19234,0</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90,0</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26122,3</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87,8</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2,3</w:t>
            </w:r>
          </w:p>
        </w:tc>
      </w:tr>
      <w:tr w:rsidR="00DD16D8" w:rsidRPr="0077719E" w:rsidTr="00DD16D8">
        <w:trPr>
          <w:trHeight w:val="255"/>
        </w:trPr>
        <w:tc>
          <w:tcPr>
            <w:tcW w:w="1079" w:type="pct"/>
            <w:shd w:val="clear" w:color="auto" w:fill="auto"/>
            <w:vAlign w:val="bottom"/>
          </w:tcPr>
          <w:p w:rsidR="00DD16D8" w:rsidRPr="0038399E" w:rsidRDefault="00DD16D8" w:rsidP="00D0492B">
            <w:pPr>
              <w:spacing w:line="240" w:lineRule="exact"/>
              <w:rPr>
                <w:rFonts w:asciiTheme="minorHAnsi" w:hAnsiTheme="minorHAnsi"/>
                <w:sz w:val="20"/>
                <w:szCs w:val="20"/>
              </w:rPr>
            </w:pPr>
            <w:r w:rsidRPr="0038399E">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DD16D8" w:rsidRPr="0038399E" w:rsidRDefault="00DD16D8"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156407,1</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88,2</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17,8</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219065,8</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96,7</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19,6</w:t>
            </w:r>
          </w:p>
        </w:tc>
      </w:tr>
      <w:tr w:rsidR="0077719E" w:rsidRPr="0077719E" w:rsidTr="00DD16D8">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DD16D8" w:rsidRPr="0077719E" w:rsidTr="00DD16D8">
        <w:trPr>
          <w:trHeight w:val="255"/>
        </w:trPr>
        <w:tc>
          <w:tcPr>
            <w:tcW w:w="1079" w:type="pct"/>
            <w:shd w:val="clear" w:color="auto" w:fill="auto"/>
            <w:vAlign w:val="bottom"/>
          </w:tcPr>
          <w:p w:rsidR="00DD16D8" w:rsidRPr="0038399E" w:rsidRDefault="00DD16D8" w:rsidP="00D0492B">
            <w:pPr>
              <w:spacing w:line="240" w:lineRule="exact"/>
              <w:ind w:left="142"/>
              <w:rPr>
                <w:rFonts w:asciiTheme="minorHAnsi" w:hAnsiTheme="minorHAnsi"/>
                <w:sz w:val="20"/>
                <w:szCs w:val="20"/>
              </w:rPr>
            </w:pPr>
            <w:r w:rsidRPr="0038399E">
              <w:rPr>
                <w:rFonts w:asciiTheme="minorHAnsi" w:hAnsiTheme="minorHAnsi"/>
                <w:bCs/>
                <w:sz w:val="20"/>
                <w:szCs w:val="20"/>
              </w:rPr>
              <w:t>реактори ядерні, котли, машини</w:t>
            </w:r>
          </w:p>
        </w:tc>
        <w:tc>
          <w:tcPr>
            <w:tcW w:w="497" w:type="pct"/>
            <w:shd w:val="clear" w:color="auto" w:fill="auto"/>
            <w:vAlign w:val="bottom"/>
          </w:tcPr>
          <w:p w:rsidR="00DD16D8" w:rsidRPr="0038399E" w:rsidRDefault="00DD16D8" w:rsidP="00D0492B">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84</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114016,7</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94,0</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13,0</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159793,4</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97,8</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14,3</w:t>
            </w:r>
          </w:p>
        </w:tc>
      </w:tr>
      <w:tr w:rsidR="00DD16D8" w:rsidRPr="0077719E" w:rsidTr="00DD16D8">
        <w:trPr>
          <w:trHeight w:val="255"/>
        </w:trPr>
        <w:tc>
          <w:tcPr>
            <w:tcW w:w="1079" w:type="pct"/>
            <w:shd w:val="clear" w:color="auto" w:fill="auto"/>
            <w:vAlign w:val="bottom"/>
          </w:tcPr>
          <w:p w:rsidR="00DD16D8" w:rsidRPr="0038399E" w:rsidRDefault="00DD16D8" w:rsidP="00507641">
            <w:pPr>
              <w:spacing w:line="240" w:lineRule="exact"/>
              <w:rPr>
                <w:rFonts w:asciiTheme="minorHAnsi" w:hAnsiTheme="minorHAnsi"/>
                <w:bCs/>
                <w:sz w:val="20"/>
                <w:szCs w:val="20"/>
              </w:rPr>
            </w:pPr>
            <w:r w:rsidRPr="0038399E">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DD16D8" w:rsidRPr="00E24C64" w:rsidRDefault="00DD16D8" w:rsidP="00507641">
            <w:pPr>
              <w:spacing w:line="240" w:lineRule="exact"/>
              <w:jc w:val="center"/>
              <w:rPr>
                <w:rFonts w:asciiTheme="minorHAnsi" w:hAnsiTheme="minorHAnsi"/>
                <w:sz w:val="20"/>
                <w:szCs w:val="20"/>
              </w:rPr>
            </w:pPr>
            <w:r w:rsidRPr="00E24C64">
              <w:rPr>
                <w:rFonts w:asciiTheme="minorHAnsi" w:hAnsiTheme="minorHAnsi"/>
                <w:bCs/>
                <w:sz w:val="20"/>
                <w:szCs w:val="20"/>
              </w:rPr>
              <w:t>XVII</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30951,7</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95,4</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3,5</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106192,1</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101,8</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9,5</w:t>
            </w:r>
          </w:p>
        </w:tc>
      </w:tr>
      <w:tr w:rsidR="0077719E" w:rsidRPr="0077719E" w:rsidTr="00DD16D8">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C02D11" w:rsidRDefault="006C51FD" w:rsidP="005A2739">
            <w:pPr>
              <w:spacing w:line="240" w:lineRule="exact"/>
              <w:jc w:val="center"/>
              <w:rPr>
                <w:rFonts w:asciiTheme="minorHAnsi" w:hAnsiTheme="minorHAnsi"/>
                <w:bCs/>
                <w:sz w:val="20"/>
                <w:szCs w:val="20"/>
                <w:highlight w:val="cyan"/>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DD16D8" w:rsidRPr="0077719E" w:rsidTr="00DD16D8">
        <w:trPr>
          <w:trHeight w:val="255"/>
        </w:trPr>
        <w:tc>
          <w:tcPr>
            <w:tcW w:w="1079" w:type="pct"/>
            <w:shd w:val="clear" w:color="auto" w:fill="FFFFFF" w:themeFill="background1"/>
            <w:vAlign w:val="bottom"/>
          </w:tcPr>
          <w:p w:rsidR="00DD16D8" w:rsidRPr="0038399E" w:rsidRDefault="00DD16D8" w:rsidP="00507641">
            <w:pPr>
              <w:spacing w:line="240" w:lineRule="exact"/>
              <w:ind w:left="142"/>
              <w:rPr>
                <w:rFonts w:asciiTheme="minorHAnsi" w:hAnsiTheme="minorHAnsi"/>
                <w:bCs/>
                <w:sz w:val="20"/>
                <w:szCs w:val="20"/>
              </w:rPr>
            </w:pPr>
            <w:r w:rsidRPr="003849C7">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DD16D8" w:rsidRPr="00EC56BC" w:rsidRDefault="00DD16D8" w:rsidP="00507641">
            <w:pPr>
              <w:spacing w:line="240" w:lineRule="exact"/>
              <w:jc w:val="center"/>
              <w:rPr>
                <w:rFonts w:asciiTheme="minorHAnsi" w:hAnsiTheme="minorHAnsi"/>
                <w:bCs/>
                <w:sz w:val="20"/>
                <w:szCs w:val="20"/>
              </w:rPr>
            </w:pPr>
            <w:r w:rsidRPr="00EC56BC">
              <w:rPr>
                <w:rFonts w:asciiTheme="minorHAnsi" w:hAnsiTheme="minorHAnsi"/>
                <w:bCs/>
                <w:sz w:val="20"/>
                <w:szCs w:val="20"/>
              </w:rPr>
              <w:t>87</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9265,6</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79,6</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104246,7</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103,6</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9,3</w:t>
            </w:r>
          </w:p>
        </w:tc>
      </w:tr>
      <w:tr w:rsidR="00DD16D8" w:rsidRPr="0077719E" w:rsidTr="00DD16D8">
        <w:trPr>
          <w:trHeight w:val="255"/>
        </w:trPr>
        <w:tc>
          <w:tcPr>
            <w:tcW w:w="1079" w:type="pct"/>
            <w:shd w:val="clear" w:color="auto" w:fill="auto"/>
            <w:vAlign w:val="bottom"/>
          </w:tcPr>
          <w:p w:rsidR="00DD16D8" w:rsidRPr="0038399E" w:rsidRDefault="00DD16D8" w:rsidP="00507641">
            <w:pPr>
              <w:spacing w:line="240" w:lineRule="exact"/>
              <w:ind w:left="142"/>
              <w:rPr>
                <w:rFonts w:asciiTheme="minorHAnsi" w:hAnsiTheme="minorHAnsi"/>
                <w:bCs/>
                <w:sz w:val="20"/>
                <w:szCs w:val="20"/>
              </w:rPr>
            </w:pPr>
            <w:r w:rsidRPr="0038399E">
              <w:rPr>
                <w:rFonts w:asciiTheme="minorHAnsi" w:hAnsiTheme="minorHAnsi"/>
                <w:bCs/>
                <w:sz w:val="20"/>
                <w:szCs w:val="20"/>
              </w:rPr>
              <w:t>судна</w:t>
            </w:r>
          </w:p>
        </w:tc>
        <w:tc>
          <w:tcPr>
            <w:tcW w:w="497" w:type="pct"/>
            <w:shd w:val="clear" w:color="auto" w:fill="auto"/>
            <w:vAlign w:val="bottom"/>
          </w:tcPr>
          <w:p w:rsidR="00DD16D8" w:rsidRPr="00EC56BC" w:rsidRDefault="00DD16D8" w:rsidP="00507641">
            <w:pPr>
              <w:spacing w:line="240" w:lineRule="exact"/>
              <w:jc w:val="center"/>
              <w:rPr>
                <w:rFonts w:asciiTheme="minorHAnsi" w:hAnsiTheme="minorHAnsi"/>
                <w:sz w:val="20"/>
                <w:szCs w:val="20"/>
                <w:lang w:eastAsia="uk-UA"/>
              </w:rPr>
            </w:pPr>
            <w:r w:rsidRPr="00EC56BC">
              <w:rPr>
                <w:rFonts w:asciiTheme="minorHAnsi" w:hAnsiTheme="minorHAnsi"/>
                <w:sz w:val="20"/>
                <w:szCs w:val="20"/>
                <w:lang w:eastAsia="uk-UA"/>
              </w:rPr>
              <w:t>89</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20082,8</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2,3</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DD16D8" w:rsidRPr="0077719E" w:rsidTr="00DD16D8">
        <w:trPr>
          <w:trHeight w:val="255"/>
        </w:trPr>
        <w:tc>
          <w:tcPr>
            <w:tcW w:w="1079" w:type="pct"/>
            <w:shd w:val="clear" w:color="auto" w:fill="auto"/>
            <w:vAlign w:val="bottom"/>
          </w:tcPr>
          <w:p w:rsidR="00DD16D8" w:rsidRPr="0038399E" w:rsidRDefault="00DD16D8" w:rsidP="008E2250">
            <w:pPr>
              <w:spacing w:line="240" w:lineRule="exact"/>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DD16D8" w:rsidRPr="0038399E" w:rsidRDefault="00DD16D8" w:rsidP="008E2250">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XVIII</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20266,3</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79,2</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2,3</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22180,7</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118,5</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2,0</w:t>
            </w:r>
          </w:p>
        </w:tc>
      </w:tr>
      <w:tr w:rsidR="0077719E" w:rsidRPr="0077719E" w:rsidTr="00DD16D8">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DD16D8" w:rsidRPr="0077719E" w:rsidTr="00DD16D8">
        <w:trPr>
          <w:trHeight w:val="255"/>
        </w:trPr>
        <w:tc>
          <w:tcPr>
            <w:tcW w:w="1079" w:type="pct"/>
            <w:shd w:val="clear" w:color="auto" w:fill="auto"/>
            <w:vAlign w:val="bottom"/>
          </w:tcPr>
          <w:p w:rsidR="00DD16D8" w:rsidRPr="0038399E" w:rsidRDefault="00DD16D8" w:rsidP="00FE24DC">
            <w:pPr>
              <w:spacing w:line="240" w:lineRule="exact"/>
              <w:ind w:left="142"/>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DD16D8" w:rsidRPr="0038399E" w:rsidRDefault="00DD16D8" w:rsidP="00FE24DC">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22095,5</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118,6</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2,0</w:t>
            </w:r>
          </w:p>
        </w:tc>
      </w:tr>
      <w:tr w:rsidR="00DD16D8" w:rsidRPr="0077719E" w:rsidTr="00DD16D8">
        <w:trPr>
          <w:trHeight w:val="255"/>
        </w:trPr>
        <w:tc>
          <w:tcPr>
            <w:tcW w:w="1079" w:type="pct"/>
            <w:shd w:val="clear" w:color="auto" w:fill="auto"/>
            <w:vAlign w:val="bottom"/>
          </w:tcPr>
          <w:p w:rsidR="00DD16D8" w:rsidRPr="0038399E" w:rsidRDefault="00DD16D8" w:rsidP="00FE24DC">
            <w:pPr>
              <w:spacing w:line="240" w:lineRule="exact"/>
              <w:rPr>
                <w:rFonts w:asciiTheme="minorHAnsi" w:hAnsiTheme="minorHAnsi"/>
                <w:sz w:val="20"/>
                <w:szCs w:val="20"/>
              </w:rPr>
            </w:pPr>
            <w:r w:rsidRPr="0038399E">
              <w:rPr>
                <w:rFonts w:asciiTheme="minorHAnsi" w:hAnsiTheme="minorHAnsi"/>
                <w:bCs/>
                <w:sz w:val="20"/>
                <w:szCs w:val="20"/>
              </w:rPr>
              <w:t>Різні промислові товари</w:t>
            </w:r>
          </w:p>
        </w:tc>
        <w:tc>
          <w:tcPr>
            <w:tcW w:w="497" w:type="pct"/>
            <w:shd w:val="clear" w:color="auto" w:fill="auto"/>
            <w:vAlign w:val="bottom"/>
          </w:tcPr>
          <w:p w:rsidR="00DD16D8" w:rsidRPr="0038399E" w:rsidRDefault="00DD16D8"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23389,5</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85,1</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2,7</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12936,6</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66,2</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1,2</w:t>
            </w:r>
          </w:p>
        </w:tc>
      </w:tr>
      <w:tr w:rsidR="0077719E" w:rsidRPr="0077719E" w:rsidTr="00DD16D8">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76"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c>
          <w:tcPr>
            <w:tcW w:w="568" w:type="pct"/>
            <w:shd w:val="clear" w:color="auto" w:fill="auto"/>
            <w:vAlign w:val="bottom"/>
          </w:tcPr>
          <w:p w:rsidR="006C51FD" w:rsidRPr="00DD16D8" w:rsidRDefault="006C51FD" w:rsidP="00DD16D8">
            <w:pPr>
              <w:jc w:val="right"/>
              <w:rPr>
                <w:rFonts w:asciiTheme="minorHAnsi" w:hAnsiTheme="minorHAnsi" w:cstheme="minorHAnsi"/>
                <w:sz w:val="20"/>
                <w:szCs w:val="20"/>
                <w:lang w:eastAsia="uk-UA"/>
              </w:rPr>
            </w:pPr>
          </w:p>
        </w:tc>
      </w:tr>
      <w:tr w:rsidR="00DD16D8" w:rsidRPr="0077719E" w:rsidTr="00DD16D8">
        <w:trPr>
          <w:trHeight w:val="255"/>
        </w:trPr>
        <w:tc>
          <w:tcPr>
            <w:tcW w:w="1079" w:type="pct"/>
            <w:shd w:val="clear" w:color="auto" w:fill="auto"/>
            <w:vAlign w:val="bottom"/>
          </w:tcPr>
          <w:p w:rsidR="00DD16D8" w:rsidRPr="0038399E" w:rsidRDefault="00DD16D8" w:rsidP="00FE24DC">
            <w:pPr>
              <w:spacing w:line="240" w:lineRule="exact"/>
              <w:ind w:left="142"/>
              <w:rPr>
                <w:rFonts w:asciiTheme="minorHAnsi" w:hAnsiTheme="minorHAnsi"/>
                <w:bCs/>
                <w:sz w:val="20"/>
                <w:szCs w:val="20"/>
              </w:rPr>
            </w:pPr>
            <w:r w:rsidRPr="0038399E">
              <w:rPr>
                <w:rFonts w:asciiTheme="minorHAnsi" w:hAnsiTheme="minorHAnsi"/>
                <w:bCs/>
                <w:sz w:val="20"/>
                <w:szCs w:val="20"/>
              </w:rPr>
              <w:t>меблі</w:t>
            </w:r>
          </w:p>
        </w:tc>
        <w:tc>
          <w:tcPr>
            <w:tcW w:w="497" w:type="pct"/>
            <w:shd w:val="clear" w:color="auto" w:fill="auto"/>
            <w:vAlign w:val="bottom"/>
          </w:tcPr>
          <w:p w:rsidR="00DD16D8" w:rsidRPr="0038399E" w:rsidRDefault="00DD16D8" w:rsidP="00FE24DC">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94</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19620,2</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81,7</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2,2</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7415,7</w:t>
            </w:r>
          </w:p>
        </w:tc>
        <w:tc>
          <w:tcPr>
            <w:tcW w:w="576"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75,2</w:t>
            </w:r>
          </w:p>
        </w:tc>
        <w:tc>
          <w:tcPr>
            <w:tcW w:w="568" w:type="pct"/>
            <w:shd w:val="clear" w:color="auto" w:fill="auto"/>
            <w:vAlign w:val="bottom"/>
          </w:tcPr>
          <w:p w:rsidR="00DD16D8" w:rsidRPr="00DD16D8" w:rsidRDefault="00DD16D8" w:rsidP="00DD16D8">
            <w:pPr>
              <w:jc w:val="right"/>
              <w:rPr>
                <w:rFonts w:asciiTheme="minorHAnsi" w:hAnsiTheme="minorHAnsi" w:cstheme="minorHAnsi"/>
                <w:bCs/>
                <w:sz w:val="20"/>
                <w:szCs w:val="20"/>
              </w:rPr>
            </w:pPr>
            <w:r w:rsidRPr="00DD16D8">
              <w:rPr>
                <w:rFonts w:asciiTheme="minorHAnsi" w:hAnsiTheme="minorHAnsi" w:cstheme="minorHAnsi"/>
                <w:bCs/>
                <w:sz w:val="20"/>
                <w:szCs w:val="20"/>
              </w:rPr>
              <w:t>0,7</w:t>
            </w:r>
          </w:p>
        </w:tc>
      </w:tr>
      <w:tr w:rsidR="00DD16D8" w:rsidRPr="0077719E" w:rsidTr="00DD16D8">
        <w:trPr>
          <w:trHeight w:val="255"/>
        </w:trPr>
        <w:tc>
          <w:tcPr>
            <w:tcW w:w="1079" w:type="pct"/>
            <w:shd w:val="clear" w:color="auto" w:fill="auto"/>
            <w:vAlign w:val="bottom"/>
          </w:tcPr>
          <w:p w:rsidR="00DD16D8" w:rsidRPr="0038399E" w:rsidRDefault="00DD16D8" w:rsidP="00FE24DC">
            <w:pPr>
              <w:spacing w:line="240" w:lineRule="exact"/>
              <w:rPr>
                <w:rFonts w:asciiTheme="minorHAnsi" w:hAnsiTheme="minorHAnsi"/>
                <w:bCs/>
                <w:sz w:val="20"/>
                <w:szCs w:val="20"/>
              </w:rPr>
            </w:pPr>
            <w:r w:rsidRPr="0038399E">
              <w:rPr>
                <w:rFonts w:asciiTheme="minorHAnsi" w:hAnsiTheme="minorHAnsi"/>
                <w:bCs/>
                <w:sz w:val="20"/>
                <w:szCs w:val="20"/>
              </w:rPr>
              <w:t>Твори мистецтва</w:t>
            </w:r>
          </w:p>
        </w:tc>
        <w:tc>
          <w:tcPr>
            <w:tcW w:w="497" w:type="pct"/>
            <w:shd w:val="clear" w:color="auto" w:fill="auto"/>
            <w:vAlign w:val="bottom"/>
          </w:tcPr>
          <w:p w:rsidR="00DD16D8" w:rsidRPr="0038399E" w:rsidRDefault="00DD16D8"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ХXІ. 97</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к</w:t>
            </w:r>
          </w:p>
        </w:tc>
      </w:tr>
      <w:tr w:rsidR="00DD16D8" w:rsidRPr="0077719E" w:rsidTr="00DD16D8">
        <w:trPr>
          <w:trHeight w:val="255"/>
        </w:trPr>
        <w:tc>
          <w:tcPr>
            <w:tcW w:w="1079" w:type="pct"/>
            <w:shd w:val="clear" w:color="auto" w:fill="auto"/>
            <w:vAlign w:val="bottom"/>
          </w:tcPr>
          <w:p w:rsidR="00DD16D8" w:rsidRPr="003849C7" w:rsidRDefault="00DD16D8" w:rsidP="00751451">
            <w:pPr>
              <w:spacing w:line="240" w:lineRule="exact"/>
              <w:rPr>
                <w:rFonts w:asciiTheme="minorHAnsi" w:hAnsiTheme="minorHAnsi"/>
                <w:bCs/>
                <w:sz w:val="20"/>
                <w:szCs w:val="20"/>
              </w:rPr>
            </w:pPr>
            <w:r w:rsidRPr="003849C7">
              <w:rPr>
                <w:rFonts w:asciiTheme="minorHAnsi" w:hAnsiTheme="minorHAnsi"/>
                <w:bCs/>
                <w:sz w:val="20"/>
                <w:szCs w:val="20"/>
              </w:rPr>
              <w:t>Товари, придбані в портах</w:t>
            </w:r>
          </w:p>
        </w:tc>
        <w:tc>
          <w:tcPr>
            <w:tcW w:w="497" w:type="pct"/>
            <w:shd w:val="clear" w:color="auto" w:fill="auto"/>
          </w:tcPr>
          <w:p w:rsidR="00DD16D8" w:rsidRDefault="00DD16D8"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241,5</w:t>
            </w:r>
          </w:p>
        </w:tc>
        <w:tc>
          <w:tcPr>
            <w:tcW w:w="576"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78,8</w:t>
            </w:r>
          </w:p>
        </w:tc>
        <w:tc>
          <w:tcPr>
            <w:tcW w:w="568" w:type="pct"/>
            <w:shd w:val="clear" w:color="auto" w:fill="auto"/>
            <w:vAlign w:val="bottom"/>
          </w:tcPr>
          <w:p w:rsidR="00DD16D8" w:rsidRPr="00DD16D8" w:rsidRDefault="00DD16D8" w:rsidP="00DD16D8">
            <w:pPr>
              <w:jc w:val="right"/>
              <w:rPr>
                <w:rFonts w:asciiTheme="minorHAnsi" w:hAnsiTheme="minorHAnsi" w:cstheme="minorHAnsi"/>
                <w:sz w:val="20"/>
                <w:szCs w:val="20"/>
              </w:rPr>
            </w:pPr>
            <w:r w:rsidRPr="00DD16D8">
              <w:rPr>
                <w:rFonts w:asciiTheme="minorHAnsi" w:hAnsiTheme="minorHAnsi" w:cstheme="minorHAnsi"/>
                <w:sz w:val="20"/>
                <w:szCs w:val="20"/>
              </w:rPr>
              <w:t>0,0</w:t>
            </w:r>
          </w:p>
        </w:tc>
      </w:tr>
    </w:tbl>
    <w:p w:rsidR="00544465" w:rsidRPr="0077719E" w:rsidRDefault="00544465" w:rsidP="00544465">
      <w:pPr>
        <w:ind w:right="-1"/>
        <w:rPr>
          <w:rFonts w:ascii="Calibri" w:hAnsi="Calibri"/>
          <w:bCs/>
          <w:sz w:val="20"/>
          <w:szCs w:val="20"/>
        </w:rPr>
      </w:pPr>
      <w:r w:rsidRPr="0077719E">
        <w:rPr>
          <w:rFonts w:ascii="Calibri" w:hAnsi="Calibri"/>
          <w:sz w:val="20"/>
          <w:szCs w:val="20"/>
        </w:rPr>
        <w:t>______________</w:t>
      </w:r>
    </w:p>
    <w:p w:rsidR="00AE7B1D" w:rsidRPr="0077719E" w:rsidRDefault="00AE7B1D"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по групах товарів за найбільшими обсягами у розділі.</w:t>
      </w:r>
    </w:p>
    <w:p w:rsidR="00E26425" w:rsidRPr="0077719E" w:rsidRDefault="00E26425"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DE0958" w:rsidRDefault="00D01A69" w:rsidP="00AE7B1D">
      <w:pPr>
        <w:jc w:val="both"/>
        <w:rPr>
          <w:rFonts w:ascii="Calibri" w:hAnsi="Calibri"/>
          <w:noProof/>
          <w:spacing w:val="-6"/>
          <w:sz w:val="18"/>
          <w:szCs w:val="18"/>
        </w:rPr>
      </w:pPr>
      <w:r w:rsidRPr="00751451">
        <w:rPr>
          <w:rFonts w:asciiTheme="minorHAnsi" w:hAnsiTheme="minorHAnsi" w:cstheme="minorHAnsi"/>
          <w:sz w:val="18"/>
          <w:szCs w:val="18"/>
        </w:rPr>
        <w:t>Символ (к) –</w:t>
      </w:r>
      <w:r w:rsidRPr="00751451">
        <w:rPr>
          <w:rFonts w:ascii="Calibri" w:hAnsi="Calibri"/>
          <w:noProof/>
          <w:spacing w:val="-6"/>
        </w:rPr>
        <w:t xml:space="preserve"> </w:t>
      </w:r>
      <w:r w:rsidRPr="00751451">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77719E" w:rsidRDefault="004905E3" w:rsidP="004905E3">
      <w:pPr>
        <w:pStyle w:val="a5"/>
        <w:tabs>
          <w:tab w:val="left" w:pos="1440"/>
        </w:tabs>
        <w:jc w:val="both"/>
        <w:rPr>
          <w:rFonts w:ascii="Calibri" w:hAnsi="Calibri"/>
          <w:sz w:val="18"/>
          <w:szCs w:val="18"/>
        </w:rPr>
      </w:pPr>
      <w:r w:rsidRPr="004905E3">
        <w:rPr>
          <w:rFonts w:asciiTheme="minorHAnsi" w:hAnsiTheme="minorHAnsi" w:cstheme="minorHAnsi"/>
          <w:sz w:val="18"/>
          <w:szCs w:val="18"/>
        </w:rPr>
        <w:t>Символ (х) – заповнення рубрики за характером побудови таблиці не має сенсу.</w:t>
      </w:r>
    </w:p>
    <w:p w:rsidR="004905E3" w:rsidRPr="0077719E" w:rsidRDefault="004905E3" w:rsidP="00AE7B1D">
      <w:pPr>
        <w:jc w:val="both"/>
        <w:rPr>
          <w:rFonts w:asciiTheme="minorHAnsi" w:hAnsiTheme="minorHAnsi" w:cstheme="minorHAnsi"/>
          <w:sz w:val="18"/>
          <w:szCs w:val="18"/>
        </w:rPr>
      </w:pPr>
    </w:p>
    <w:p w:rsidR="00CB5AAC" w:rsidRPr="0077719E"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77719E">
        <w:rPr>
          <w:rFonts w:ascii="Calibri" w:hAnsi="Calibri"/>
          <w:b/>
          <w:sz w:val="18"/>
          <w:szCs w:val="18"/>
        </w:rPr>
        <w:t>Примітка.</w:t>
      </w:r>
      <w:r w:rsidRPr="0077719E">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53A" w:rsidRDefault="00BD553A">
      <w:r>
        <w:separator/>
      </w:r>
    </w:p>
  </w:endnote>
  <w:endnote w:type="continuationSeparator" w:id="0">
    <w:p w:rsidR="00BD553A" w:rsidRDefault="00BD5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35" w:rsidRPr="001B266D" w:rsidRDefault="004C1435" w:rsidP="001B266D">
    <w:pPr>
      <w:framePr w:wrap="around" w:vAnchor="text" w:hAnchor="page" w:xAlign="right" w:y="1"/>
      <w:tabs>
        <w:tab w:val="center" w:pos="4153"/>
        <w:tab w:val="right" w:pos="8306"/>
      </w:tabs>
      <w:rPr>
        <w:rFonts w:ascii="Calibri" w:hAnsi="Calibri" w:cs="Arial"/>
        <w:sz w:val="20"/>
        <w:szCs w:val="20"/>
      </w:rPr>
    </w:pPr>
  </w:p>
  <w:p w:rsidR="004C1435" w:rsidRPr="006829A8" w:rsidRDefault="004C1435">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35" w:rsidRPr="001B266D" w:rsidRDefault="004C1435"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B8138C">
      <w:rPr>
        <w:rFonts w:ascii="Calibri" w:hAnsi="Calibri" w:cs="Arial"/>
        <w:noProof/>
        <w:sz w:val="20"/>
        <w:szCs w:val="20"/>
      </w:rPr>
      <w:t>2</w:t>
    </w:r>
    <w:r w:rsidRPr="001B266D">
      <w:rPr>
        <w:rFonts w:ascii="Calibri" w:hAnsi="Calibri" w:cs="Arial"/>
        <w:sz w:val="20"/>
        <w:szCs w:val="20"/>
      </w:rPr>
      <w:fldChar w:fldCharType="end"/>
    </w:r>
  </w:p>
  <w:p w:rsidR="004C1435" w:rsidRPr="006829A8" w:rsidRDefault="004C1435">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53A" w:rsidRDefault="00BD553A">
      <w:r>
        <w:separator/>
      </w:r>
    </w:p>
  </w:footnote>
  <w:footnote w:type="continuationSeparator" w:id="0">
    <w:p w:rsidR="00BD553A" w:rsidRDefault="00BD55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A1524"/>
    <w:rsid w:val="000A40F3"/>
    <w:rsid w:val="000A4378"/>
    <w:rsid w:val="000A5575"/>
    <w:rsid w:val="000A74B0"/>
    <w:rsid w:val="000A79AB"/>
    <w:rsid w:val="000B11EC"/>
    <w:rsid w:val="000B3BE3"/>
    <w:rsid w:val="000B4AE9"/>
    <w:rsid w:val="000B5003"/>
    <w:rsid w:val="000B5D5A"/>
    <w:rsid w:val="000B6307"/>
    <w:rsid w:val="000C0342"/>
    <w:rsid w:val="000C062E"/>
    <w:rsid w:val="000C0D92"/>
    <w:rsid w:val="000C1D8B"/>
    <w:rsid w:val="000C21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4415"/>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D7A"/>
    <w:rsid w:val="001A1F6C"/>
    <w:rsid w:val="001A2584"/>
    <w:rsid w:val="001A5A9B"/>
    <w:rsid w:val="001B05D6"/>
    <w:rsid w:val="001B0FB1"/>
    <w:rsid w:val="001B15DC"/>
    <w:rsid w:val="001B1E3B"/>
    <w:rsid w:val="001B266D"/>
    <w:rsid w:val="001B47BE"/>
    <w:rsid w:val="001B4C7E"/>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2CE9"/>
    <w:rsid w:val="00224865"/>
    <w:rsid w:val="002255C3"/>
    <w:rsid w:val="0022604B"/>
    <w:rsid w:val="00227035"/>
    <w:rsid w:val="00227C4E"/>
    <w:rsid w:val="00227F86"/>
    <w:rsid w:val="002309CB"/>
    <w:rsid w:val="00230CD4"/>
    <w:rsid w:val="002315FE"/>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194E"/>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63C"/>
    <w:rsid w:val="002B7E06"/>
    <w:rsid w:val="002C05F2"/>
    <w:rsid w:val="002C259B"/>
    <w:rsid w:val="002C2D10"/>
    <w:rsid w:val="002C3249"/>
    <w:rsid w:val="002C3F0E"/>
    <w:rsid w:val="002C3F32"/>
    <w:rsid w:val="002C502A"/>
    <w:rsid w:val="002C536A"/>
    <w:rsid w:val="002C6007"/>
    <w:rsid w:val="002C7FE5"/>
    <w:rsid w:val="002D11F0"/>
    <w:rsid w:val="002D2567"/>
    <w:rsid w:val="002D25A9"/>
    <w:rsid w:val="002D25F9"/>
    <w:rsid w:val="002D3A86"/>
    <w:rsid w:val="002D3C41"/>
    <w:rsid w:val="002D5366"/>
    <w:rsid w:val="002D5939"/>
    <w:rsid w:val="002E1D78"/>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50326"/>
    <w:rsid w:val="00351D26"/>
    <w:rsid w:val="00351E41"/>
    <w:rsid w:val="00352749"/>
    <w:rsid w:val="00352791"/>
    <w:rsid w:val="003533C8"/>
    <w:rsid w:val="00353F9F"/>
    <w:rsid w:val="0035518B"/>
    <w:rsid w:val="00356C1B"/>
    <w:rsid w:val="00356FA8"/>
    <w:rsid w:val="00357286"/>
    <w:rsid w:val="0035741A"/>
    <w:rsid w:val="00357C93"/>
    <w:rsid w:val="00357E09"/>
    <w:rsid w:val="00360A08"/>
    <w:rsid w:val="00361853"/>
    <w:rsid w:val="00361BEC"/>
    <w:rsid w:val="003631A1"/>
    <w:rsid w:val="00364F43"/>
    <w:rsid w:val="00366EE6"/>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747"/>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153"/>
    <w:rsid w:val="005C6220"/>
    <w:rsid w:val="005C67A4"/>
    <w:rsid w:val="005C67C4"/>
    <w:rsid w:val="005C69A3"/>
    <w:rsid w:val="005C6C49"/>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55DAC"/>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147E"/>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8D7"/>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3174"/>
    <w:rsid w:val="008D3825"/>
    <w:rsid w:val="008D3F75"/>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A03E2"/>
    <w:rsid w:val="009A147F"/>
    <w:rsid w:val="009A40E2"/>
    <w:rsid w:val="009A45DF"/>
    <w:rsid w:val="009A778F"/>
    <w:rsid w:val="009B0137"/>
    <w:rsid w:val="009B11CC"/>
    <w:rsid w:val="009B2527"/>
    <w:rsid w:val="009B3C18"/>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6B7A"/>
    <w:rsid w:val="009F720E"/>
    <w:rsid w:val="009F7ADD"/>
    <w:rsid w:val="009F7CF7"/>
    <w:rsid w:val="00A0019E"/>
    <w:rsid w:val="00A04AE3"/>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647"/>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5365"/>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138C"/>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61FF"/>
    <w:rsid w:val="00BF751F"/>
    <w:rsid w:val="00C000DA"/>
    <w:rsid w:val="00C00DD3"/>
    <w:rsid w:val="00C02D11"/>
    <w:rsid w:val="00C036F7"/>
    <w:rsid w:val="00C04424"/>
    <w:rsid w:val="00C04E79"/>
    <w:rsid w:val="00C06357"/>
    <w:rsid w:val="00C070CD"/>
    <w:rsid w:val="00C11EC2"/>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82A"/>
    <w:rsid w:val="00CC7EA5"/>
    <w:rsid w:val="00CD139B"/>
    <w:rsid w:val="00CD248D"/>
    <w:rsid w:val="00CD25A9"/>
    <w:rsid w:val="00CD3086"/>
    <w:rsid w:val="00CD4A53"/>
    <w:rsid w:val="00CD5FAC"/>
    <w:rsid w:val="00CD6094"/>
    <w:rsid w:val="00CD6E3C"/>
    <w:rsid w:val="00CD7DBE"/>
    <w:rsid w:val="00CE2ADE"/>
    <w:rsid w:val="00CE326A"/>
    <w:rsid w:val="00CE47B1"/>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2A37"/>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24F"/>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20B"/>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1149074605773136E-2"/>
                  <c:y val="-1.83509272814314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60964518423264E-2"/>
                  <c:y val="6.80529095383397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9463593325187157E-2"/>
                  <c:y val="4.04054788620611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619811335862753E-2"/>
                  <c:y val="5.1422837557499775E-2"/>
                </c:manualLayout>
              </c:layout>
              <c:dLblPos val="r"/>
              <c:showLegendKey val="0"/>
              <c:showVal val="1"/>
              <c:showCatName val="0"/>
              <c:showSerName val="0"/>
              <c:showPercent val="0"/>
              <c:showBubbleSize val="0"/>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dLbl>
            <c:dLbl>
              <c:idx val="5"/>
              <c:layout>
                <c:manualLayout>
                  <c:x val="-5.5270773235701141E-2"/>
                  <c:y val="4.597195617327153E-2"/>
                </c:manualLayout>
              </c:layout>
              <c:dLblPos val="r"/>
              <c:showLegendKey val="0"/>
              <c:showVal val="1"/>
              <c:showCatName val="0"/>
              <c:showSerName val="0"/>
              <c:showPercent val="0"/>
              <c:showBubbleSize val="0"/>
            </c:dLbl>
            <c:dLbl>
              <c:idx val="6"/>
              <c:layout>
                <c:manualLayout>
                  <c:x val="-4.899402097559382E-2"/>
                  <c:y val="3.4917246914383637E-2"/>
                </c:manualLayout>
              </c:layout>
              <c:dLblPos val="r"/>
              <c:showLegendKey val="0"/>
              <c:showVal val="1"/>
              <c:showCatName val="0"/>
              <c:showSerName val="0"/>
              <c:showPercent val="0"/>
              <c:showBubbleSize val="0"/>
            </c:dLbl>
            <c:dLbl>
              <c:idx val="7"/>
              <c:layout>
                <c:manualLayout>
                  <c:x val="-5.729277616231581E-2"/>
                  <c:y val="4.0426888787661874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114.8</c:v>
                </c:pt>
                <c:pt idx="1">
                  <c:v>114.5</c:v>
                </c:pt>
                <c:pt idx="2">
                  <c:v>110.4</c:v>
                </c:pt>
                <c:pt idx="3">
                  <c:v>105.5</c:v>
                </c:pt>
                <c:pt idx="4">
                  <c:v>100.8</c:v>
                </c:pt>
                <c:pt idx="5" formatCode="0.0">
                  <c:v>100.2</c:v>
                </c:pt>
                <c:pt idx="6">
                  <c:v>97.9</c:v>
                </c:pt>
                <c:pt idx="7">
                  <c:v>97.6</c:v>
                </c:pt>
              </c:numCache>
            </c:numRef>
          </c:val>
          <c:smooth val="0"/>
        </c:ser>
        <c:dLbls>
          <c:showLegendKey val="0"/>
          <c:showVal val="0"/>
          <c:showCatName val="0"/>
          <c:showSerName val="0"/>
          <c:showPercent val="0"/>
          <c:showBubbleSize val="0"/>
        </c:dLbls>
        <c:marker val="1"/>
        <c:smooth val="0"/>
        <c:axId val="128702336"/>
        <c:axId val="128703872"/>
      </c:lineChart>
      <c:catAx>
        <c:axId val="12870233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28703872"/>
        <c:crosses val="autoZero"/>
        <c:auto val="1"/>
        <c:lblAlgn val="ctr"/>
        <c:lblOffset val="100"/>
        <c:noMultiLvlLbl val="0"/>
      </c:catAx>
      <c:valAx>
        <c:axId val="128703872"/>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28702336"/>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9607469448484547E-2"/>
                  <c:y val="-2.94076050411054E-2"/>
                </c:manualLayout>
              </c:layout>
              <c:dLblPos val="r"/>
              <c:showLegendKey val="0"/>
              <c:showVal val="1"/>
              <c:showCatName val="0"/>
              <c:showSerName val="0"/>
              <c:showPercent val="0"/>
              <c:showBubbleSize val="0"/>
            </c:dLbl>
            <c:dLbl>
              <c:idx val="5"/>
              <c:layout>
                <c:manualLayout>
                  <c:x val="-3.7399401507932528E-2"/>
                  <c:y val="-5.6955814407496586E-2"/>
                </c:manualLayout>
              </c:layout>
              <c:dLblPos val="r"/>
              <c:showLegendKey val="0"/>
              <c:showVal val="1"/>
              <c:showCatName val="0"/>
              <c:showSerName val="0"/>
              <c:showPercent val="0"/>
              <c:showBubbleSize val="0"/>
            </c:dLbl>
            <c:dLbl>
              <c:idx val="6"/>
              <c:layout>
                <c:manualLayout>
                  <c:x val="-4.1581824564923014E-2"/>
                  <c:y val="-5.1375024402941366E-2"/>
                </c:manualLayout>
              </c:layout>
              <c:dLblPos val="r"/>
              <c:showLegendKey val="0"/>
              <c:showVal val="1"/>
              <c:showCatName val="0"/>
              <c:showSerName val="0"/>
              <c:showPercent val="0"/>
              <c:showBubbleSize val="0"/>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984653192236321E-2"/>
                  <c:y val="-5.505910934686883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3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dLbl>
            <c:dLbl>
              <c:idx val="5"/>
              <c:layout>
                <c:manualLayout>
                  <c:x val="-4.2462845010615709E-2"/>
                  <c:y val="3.8567493112947659E-2"/>
                </c:manualLayout>
              </c:layout>
              <c:showLegendKey val="0"/>
              <c:showVal val="1"/>
              <c:showCatName val="0"/>
              <c:showSerName val="0"/>
              <c:showPercent val="0"/>
              <c:showBubbleSize val="0"/>
            </c:dLbl>
            <c:dLbl>
              <c:idx val="6"/>
              <c:layout>
                <c:manualLayout>
                  <c:x val="-5.091258469562359E-2"/>
                  <c:y val="4.4111543157240286E-2"/>
                </c:manualLayout>
              </c:layout>
              <c:showLegendKey val="0"/>
              <c:showVal val="1"/>
              <c:showCatName val="0"/>
              <c:showSerName val="0"/>
              <c:showPercent val="0"/>
              <c:showBubbleSize val="0"/>
            </c:dLbl>
            <c:dLbl>
              <c:idx val="7"/>
              <c:layout>
                <c:manualLayout>
                  <c:x val="-3.3970276008492568E-2"/>
                  <c:y val="-2.7548209366391185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107.2</c:v>
                </c:pt>
                <c:pt idx="1">
                  <c:v>109.5</c:v>
                </c:pt>
                <c:pt idx="2" formatCode="General">
                  <c:v>107.8</c:v>
                </c:pt>
                <c:pt idx="3">
                  <c:v>102.2</c:v>
                </c:pt>
                <c:pt idx="4">
                  <c:v>97</c:v>
                </c:pt>
                <c:pt idx="5" formatCode="General">
                  <c:v>99.5</c:v>
                </c:pt>
                <c:pt idx="6" formatCode="General">
                  <c:v>98.5</c:v>
                </c:pt>
                <c:pt idx="7" formatCode="General">
                  <c:v>99.6</c:v>
                </c:pt>
              </c:numCache>
            </c:numRef>
          </c:val>
          <c:smooth val="0"/>
        </c:ser>
        <c:dLbls>
          <c:showLegendKey val="0"/>
          <c:showVal val="0"/>
          <c:showCatName val="0"/>
          <c:showSerName val="0"/>
          <c:showPercent val="0"/>
          <c:showBubbleSize val="0"/>
        </c:dLbls>
        <c:marker val="1"/>
        <c:smooth val="0"/>
        <c:axId val="131961600"/>
        <c:axId val="131963136"/>
      </c:lineChart>
      <c:catAx>
        <c:axId val="13196160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31963136"/>
        <c:crosses val="autoZero"/>
        <c:auto val="1"/>
        <c:lblAlgn val="ctr"/>
        <c:lblOffset val="100"/>
        <c:noMultiLvlLbl val="0"/>
      </c:catAx>
      <c:valAx>
        <c:axId val="131963136"/>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31961600"/>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8B9F2-79F6-4E29-93FF-04C98E84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7</Pages>
  <Words>2034</Words>
  <Characters>12373</Characters>
  <Application>Microsoft Office Word</Application>
  <DocSecurity>0</DocSecurity>
  <Lines>103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14379</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170</cp:revision>
  <cp:lastPrinted>2020-05-18T07:12:00Z</cp:lastPrinted>
  <dcterms:created xsi:type="dcterms:W3CDTF">2020-05-15T12:08:00Z</dcterms:created>
  <dcterms:modified xsi:type="dcterms:W3CDTF">2020-10-16T10:32:00Z</dcterms:modified>
</cp:coreProperties>
</file>