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7E1E58" w:rsidRPr="00FD0513" w:rsidRDefault="00FD0513" w:rsidP="003174C3">
      <w:pPr>
        <w:rPr>
          <w:rFonts w:ascii="Calibri" w:hAnsi="Calibri"/>
          <w:sz w:val="26"/>
          <w:szCs w:val="26"/>
        </w:rPr>
      </w:pPr>
      <w:r w:rsidRPr="00FD0513">
        <w:rPr>
          <w:rFonts w:ascii="Calibri" w:hAnsi="Calibri"/>
          <w:sz w:val="26"/>
          <w:szCs w:val="26"/>
        </w:rPr>
        <w:t>13.08.2020</w:t>
      </w:r>
    </w:p>
    <w:p w:rsidR="003174C3" w:rsidRDefault="003174C3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3174C3">
        <w:rPr>
          <w:rFonts w:ascii="Calibri" w:hAnsi="Calibri"/>
          <w:b/>
          <w:sz w:val="26"/>
          <w:szCs w:val="26"/>
        </w:rPr>
        <w:t>липні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3174C3">
        <w:rPr>
          <w:rFonts w:ascii="Calibri" w:hAnsi="Calibri"/>
          <w:color w:val="000000"/>
          <w:sz w:val="26"/>
          <w:szCs w:val="26"/>
        </w:rPr>
        <w:t>липні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B774E1">
        <w:rPr>
          <w:rFonts w:ascii="Calibri" w:hAnsi="Calibri"/>
          <w:color w:val="000000"/>
          <w:sz w:val="26"/>
          <w:szCs w:val="26"/>
        </w:rPr>
        <w:t>знизилися</w:t>
      </w:r>
      <w:r w:rsidR="00425095">
        <w:rPr>
          <w:rFonts w:ascii="Calibri" w:hAnsi="Calibri"/>
          <w:color w:val="000000"/>
          <w:sz w:val="26"/>
          <w:szCs w:val="26"/>
        </w:rPr>
        <w:t xml:space="preserve"> на </w:t>
      </w:r>
      <w:r w:rsidR="003174C3">
        <w:rPr>
          <w:rFonts w:ascii="Calibri" w:hAnsi="Calibri"/>
          <w:color w:val="000000"/>
          <w:sz w:val="26"/>
          <w:szCs w:val="26"/>
        </w:rPr>
        <w:t>0,5</w:t>
      </w:r>
      <w:r w:rsidR="00425095">
        <w:rPr>
          <w:rFonts w:ascii="Calibri" w:hAnsi="Calibri"/>
          <w:color w:val="000000"/>
          <w:sz w:val="26"/>
          <w:szCs w:val="26"/>
        </w:rPr>
        <w:t>%</w:t>
      </w:r>
      <w:r w:rsidR="00155F24">
        <w:rPr>
          <w:rFonts w:ascii="Calibri" w:hAnsi="Calibri"/>
          <w:color w:val="000000"/>
          <w:sz w:val="26"/>
          <w:szCs w:val="26"/>
        </w:rPr>
        <w:t>,</w:t>
      </w:r>
      <w:r w:rsidR="00425095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з початку року</w:t>
      </w:r>
      <w:r w:rsidR="003174C3">
        <w:rPr>
          <w:rFonts w:ascii="Calibri" w:hAnsi="Calibri"/>
          <w:color w:val="000000"/>
          <w:sz w:val="26"/>
          <w:szCs w:val="26"/>
        </w:rPr>
        <w:t xml:space="preserve"> </w:t>
      </w:r>
      <w:r w:rsidR="00B774E1">
        <w:rPr>
          <w:rFonts w:ascii="Calibri" w:hAnsi="Calibri"/>
          <w:color w:val="000000"/>
          <w:sz w:val="26"/>
          <w:szCs w:val="26"/>
        </w:rPr>
        <w:t>зросли</w:t>
      </w:r>
      <w:r w:rsidR="00425095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3174C3">
        <w:rPr>
          <w:rFonts w:ascii="Calibri" w:hAnsi="Calibri"/>
          <w:color w:val="000000"/>
          <w:sz w:val="26"/>
          <w:szCs w:val="26"/>
        </w:rPr>
        <w:t>1,8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B774E1">
        <w:rPr>
          <w:rFonts w:ascii="Calibri" w:hAnsi="Calibri"/>
          <w:color w:val="000000"/>
          <w:sz w:val="26"/>
          <w:szCs w:val="26"/>
        </w:rPr>
        <w:t>знизилися</w:t>
      </w:r>
      <w:r w:rsidR="003174C3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на </w:t>
      </w:r>
      <w:r w:rsidR="003174C3">
        <w:rPr>
          <w:rFonts w:ascii="Calibri" w:hAnsi="Calibri"/>
          <w:color w:val="000000"/>
          <w:sz w:val="26"/>
          <w:szCs w:val="26"/>
        </w:rPr>
        <w:t>0,6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B774E1">
        <w:rPr>
          <w:rFonts w:ascii="Calibri" w:hAnsi="Calibri"/>
          <w:color w:val="000000"/>
          <w:sz w:val="26"/>
          <w:szCs w:val="26"/>
        </w:rPr>
        <w:t>зросли</w:t>
      </w:r>
      <w:r>
        <w:rPr>
          <w:rFonts w:ascii="Calibri" w:hAnsi="Calibri"/>
          <w:color w:val="000000"/>
          <w:sz w:val="26"/>
          <w:szCs w:val="26"/>
        </w:rPr>
        <w:t xml:space="preserve"> </w:t>
      </w:r>
      <w:r w:rsidR="00DE52C6">
        <w:rPr>
          <w:rFonts w:ascii="Calibri" w:hAnsi="Calibri"/>
          <w:color w:val="000000"/>
          <w:sz w:val="26"/>
          <w:szCs w:val="26"/>
        </w:rPr>
        <w:br/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3174C3">
        <w:rPr>
          <w:rFonts w:ascii="Calibri" w:hAnsi="Calibri"/>
          <w:color w:val="000000"/>
          <w:sz w:val="26"/>
          <w:szCs w:val="26"/>
        </w:rPr>
        <w:t>1,4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E813CA" w:rsidRDefault="00171322" w:rsidP="006A2D1F">
      <w:pPr>
        <w:ind w:right="-143" w:firstLine="284"/>
        <w:jc w:val="both"/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7960E2"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6151E5">
      <w:pPr>
        <w:ind w:right="282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DE52C6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DE52C6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Pr="004718AE" w:rsidRDefault="00590F5A" w:rsidP="00B82E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82E78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Pr="004718AE" w:rsidRDefault="00B82E78" w:rsidP="00B82E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Pr="004718AE" w:rsidRDefault="00590F5A" w:rsidP="00B82E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82E78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Pr="004718AE" w:rsidRDefault="00B82E78" w:rsidP="00B82E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4,7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21,8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B82E78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3,0</w:t>
            </w:r>
          </w:p>
        </w:tc>
      </w:tr>
      <w:tr w:rsidR="00B82E78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45,2</w:t>
            </w:r>
          </w:p>
        </w:tc>
      </w:tr>
      <w:tr w:rsidR="00B82E78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2E78" w:rsidRPr="000923C0" w:rsidRDefault="00B82E78" w:rsidP="00B82E7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590F5A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82E78">
              <w:rPr>
                <w:rFonts w:ascii="Calibri" w:hAnsi="Calibri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82E78" w:rsidRDefault="00B82E78" w:rsidP="00B82E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Pr="004718AE" w:rsidRDefault="00DD2E3F" w:rsidP="00DD2E3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Pr="004718AE" w:rsidRDefault="00DD2E3F" w:rsidP="00DD2E3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5,0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Pr="004718AE" w:rsidRDefault="00590F5A" w:rsidP="00DD2E3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DD2E3F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Pr="004718AE" w:rsidRDefault="00590F5A" w:rsidP="00DD2E3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DD2E3F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5,4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6,0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4,7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Pr="004718AE" w:rsidRDefault="00DD2E3F" w:rsidP="00DD2E3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Pr="004718AE" w:rsidRDefault="00590F5A" w:rsidP="00DD2E3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DD2E3F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12,3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590F5A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D2E3F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15,9</w:t>
            </w:r>
          </w:p>
        </w:tc>
      </w:tr>
      <w:tr w:rsidR="00DD2E3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D2E3F" w:rsidRPr="000923C0" w:rsidRDefault="00DD2E3F" w:rsidP="00DD2E3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D2E3F" w:rsidRDefault="00DD2E3F" w:rsidP="00DD2E3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37,7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590F5A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45B6D">
              <w:rPr>
                <w:rFonts w:ascii="Calibri" w:hAnsi="Calibri"/>
                <w:color w:val="000000"/>
                <w:sz w:val="22"/>
                <w:szCs w:val="22"/>
              </w:rPr>
              <w:t>42,3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E72FD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–20,7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5,8</w:t>
            </w:r>
          </w:p>
        </w:tc>
      </w:tr>
      <w:tr w:rsidR="00B45B6D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590F5A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45B6D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6,6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590F5A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45B6D">
              <w:rPr>
                <w:rFonts w:ascii="Calibri" w:hAnsi="Calibri"/>
                <w:color w:val="000000"/>
                <w:sz w:val="22"/>
                <w:szCs w:val="22"/>
              </w:rPr>
              <w:t>19,1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3,9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B45B6D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33,1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590F5A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45B6D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Default="00590F5A" w:rsidP="00B45B6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45B6D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4,0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590F5A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45B6D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2,7</w:t>
            </w:r>
          </w:p>
        </w:tc>
      </w:tr>
      <w:tr w:rsidR="00B45B6D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5B6D" w:rsidRPr="000923C0" w:rsidRDefault="00B45B6D" w:rsidP="00B45B6D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B45B6D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45B6D" w:rsidRPr="004718AE" w:rsidRDefault="00590F5A" w:rsidP="00B45B6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45B6D" w:rsidRPr="004718AE">
              <w:rPr>
                <w:rFonts w:ascii="Calibri" w:hAnsi="Calibri"/>
                <w:b/>
                <w:color w:val="000000"/>
                <w:sz w:val="22"/>
                <w:szCs w:val="22"/>
              </w:rPr>
              <w:t>6,3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7D3" w:rsidRDefault="00BE24F3" w:rsidP="00D437D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B774E1">
        <w:rPr>
          <w:rFonts w:ascii="Calibri" w:hAnsi="Calibri"/>
          <w:sz w:val="26"/>
          <w:szCs w:val="26"/>
        </w:rPr>
        <w:t>липні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B774E1">
        <w:rPr>
          <w:rFonts w:ascii="Calibri" w:hAnsi="Calibri"/>
          <w:sz w:val="26"/>
          <w:szCs w:val="26"/>
        </w:rPr>
        <w:t>знизилися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B774E1">
        <w:rPr>
          <w:rFonts w:ascii="Calibri" w:hAnsi="Calibri"/>
          <w:sz w:val="26"/>
          <w:szCs w:val="26"/>
        </w:rPr>
        <w:t>1,4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0C6213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5C3C70">
        <w:rPr>
          <w:rFonts w:ascii="Calibri" w:hAnsi="Calibri"/>
          <w:sz w:val="26"/>
          <w:szCs w:val="26"/>
        </w:rPr>
        <w:t>14,7</w:t>
      </w:r>
      <w:r w:rsidR="00743435" w:rsidRPr="00743435">
        <w:rPr>
          <w:rFonts w:ascii="Calibri" w:hAnsi="Calibri"/>
          <w:sz w:val="26"/>
          <w:szCs w:val="26"/>
        </w:rPr>
        <w:t>%</w:t>
      </w:r>
      <w:r w:rsidR="005C3C70">
        <w:rPr>
          <w:rFonts w:ascii="Calibri" w:hAnsi="Calibri"/>
          <w:sz w:val="26"/>
          <w:szCs w:val="26"/>
        </w:rPr>
        <w:t xml:space="preserve"> та 11,6%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5C3C70">
        <w:rPr>
          <w:rFonts w:ascii="Calibri" w:hAnsi="Calibri"/>
          <w:sz w:val="26"/>
          <w:szCs w:val="26"/>
        </w:rPr>
        <w:t xml:space="preserve">подешевшали яйця та овочі.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5C3C70">
        <w:rPr>
          <w:rFonts w:ascii="Calibri" w:hAnsi="Calibri"/>
          <w:sz w:val="26"/>
          <w:szCs w:val="26"/>
        </w:rPr>
        <w:t>3,5</w:t>
      </w:r>
      <w:r w:rsidR="00E4440E">
        <w:rPr>
          <w:rFonts w:ascii="Calibri" w:hAnsi="Calibri"/>
          <w:sz w:val="26"/>
          <w:szCs w:val="26"/>
        </w:rPr>
        <w:t>–</w:t>
      </w:r>
      <w:r w:rsidR="005C3C70">
        <w:rPr>
          <w:rFonts w:ascii="Calibri" w:hAnsi="Calibri"/>
          <w:sz w:val="26"/>
          <w:szCs w:val="26"/>
        </w:rPr>
        <w:t>0,5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5C3C70">
        <w:rPr>
          <w:rFonts w:ascii="Calibri" w:hAnsi="Calibri"/>
          <w:sz w:val="26"/>
          <w:szCs w:val="26"/>
        </w:rPr>
        <w:t xml:space="preserve">знизилися </w:t>
      </w:r>
      <w:r w:rsidR="00E4440E" w:rsidRPr="00E4440E">
        <w:rPr>
          <w:rFonts w:ascii="Calibri" w:hAnsi="Calibri"/>
          <w:sz w:val="26"/>
          <w:szCs w:val="26"/>
        </w:rPr>
        <w:t xml:space="preserve">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150C38">
        <w:rPr>
          <w:rFonts w:ascii="Calibri" w:hAnsi="Calibri"/>
          <w:sz w:val="26"/>
          <w:szCs w:val="26"/>
        </w:rPr>
        <w:t xml:space="preserve"> </w:t>
      </w:r>
      <w:r w:rsidR="00A319A7">
        <w:rPr>
          <w:rFonts w:ascii="Calibri" w:hAnsi="Calibri"/>
          <w:sz w:val="26"/>
          <w:szCs w:val="26"/>
        </w:rPr>
        <w:t xml:space="preserve">фрукти, </w:t>
      </w:r>
      <w:r w:rsidR="00150C38">
        <w:rPr>
          <w:rFonts w:ascii="Calibri" w:hAnsi="Calibri"/>
          <w:sz w:val="26"/>
          <w:szCs w:val="26"/>
        </w:rPr>
        <w:t>рис,</w:t>
      </w:r>
      <w:r w:rsidR="00150C38" w:rsidRPr="00150C38">
        <w:rPr>
          <w:rFonts w:ascii="Calibri" w:hAnsi="Calibri"/>
          <w:sz w:val="26"/>
          <w:szCs w:val="26"/>
        </w:rPr>
        <w:t xml:space="preserve"> </w:t>
      </w:r>
      <w:r w:rsidR="00A319A7">
        <w:rPr>
          <w:rFonts w:ascii="Calibri" w:hAnsi="Calibri"/>
          <w:sz w:val="26"/>
          <w:szCs w:val="26"/>
        </w:rPr>
        <w:t>продукти переробки зернових, цукор, олію соняшникову, рибу та</w:t>
      </w:r>
      <w:r w:rsidR="00D437D3">
        <w:rPr>
          <w:rFonts w:ascii="Calibri" w:hAnsi="Calibri"/>
          <w:sz w:val="26"/>
          <w:szCs w:val="26"/>
        </w:rPr>
        <w:t xml:space="preserve"> продукти з риби, сало.</w:t>
      </w:r>
      <w:r w:rsidR="00D437D3" w:rsidRPr="00D437D3">
        <w:rPr>
          <w:rFonts w:ascii="Calibri" w:hAnsi="Calibri"/>
          <w:sz w:val="26"/>
          <w:szCs w:val="26"/>
        </w:rPr>
        <w:t xml:space="preserve"> </w:t>
      </w:r>
      <w:r w:rsidR="00D437D3" w:rsidRPr="00BE24F3">
        <w:rPr>
          <w:rFonts w:ascii="Calibri" w:hAnsi="Calibri"/>
          <w:sz w:val="26"/>
          <w:szCs w:val="26"/>
        </w:rPr>
        <w:t>Водночас</w:t>
      </w:r>
      <w:r w:rsidR="00D437D3">
        <w:rPr>
          <w:rFonts w:ascii="Calibri" w:hAnsi="Calibri"/>
          <w:sz w:val="26"/>
          <w:szCs w:val="26"/>
        </w:rPr>
        <w:t xml:space="preserve"> </w:t>
      </w:r>
      <w:r w:rsidR="00D437D3" w:rsidRPr="00BE24F3">
        <w:rPr>
          <w:rFonts w:ascii="Calibri" w:hAnsi="Calibri"/>
          <w:sz w:val="26"/>
          <w:szCs w:val="26"/>
        </w:rPr>
        <w:t xml:space="preserve">на </w:t>
      </w:r>
      <w:r w:rsidR="00D437D3">
        <w:rPr>
          <w:rFonts w:ascii="Calibri" w:hAnsi="Calibri"/>
          <w:sz w:val="26"/>
          <w:szCs w:val="26"/>
        </w:rPr>
        <w:t xml:space="preserve">10,9% </w:t>
      </w:r>
      <w:r w:rsidR="00D437D3" w:rsidRPr="00085A3D">
        <w:rPr>
          <w:rFonts w:ascii="Calibri" w:hAnsi="Calibri"/>
          <w:sz w:val="26"/>
          <w:szCs w:val="26"/>
        </w:rPr>
        <w:t>подорожча</w:t>
      </w:r>
      <w:r w:rsidR="00386B16">
        <w:rPr>
          <w:rFonts w:ascii="Calibri" w:hAnsi="Calibri"/>
          <w:sz w:val="26"/>
          <w:szCs w:val="26"/>
        </w:rPr>
        <w:t>в</w:t>
      </w:r>
      <w:r w:rsidR="00D437D3">
        <w:rPr>
          <w:rFonts w:ascii="Calibri" w:hAnsi="Calibri"/>
          <w:sz w:val="26"/>
          <w:szCs w:val="26"/>
        </w:rPr>
        <w:t xml:space="preserve"> мед, на 3,3–0,2</w:t>
      </w:r>
      <w:r w:rsidR="00D437D3" w:rsidRPr="00BE24F3">
        <w:rPr>
          <w:rFonts w:ascii="Calibri" w:hAnsi="Calibri"/>
          <w:sz w:val="26"/>
          <w:szCs w:val="26"/>
        </w:rPr>
        <w:t>%</w:t>
      </w:r>
      <w:r w:rsidR="00D437D3" w:rsidRPr="00665410">
        <w:rPr>
          <w:rFonts w:ascii="Calibri" w:hAnsi="Calibri"/>
          <w:sz w:val="26"/>
          <w:szCs w:val="26"/>
        </w:rPr>
        <w:t xml:space="preserve"> </w:t>
      </w:r>
      <w:r w:rsidR="00D437D3">
        <w:rPr>
          <w:rFonts w:ascii="Calibri" w:hAnsi="Calibri"/>
          <w:sz w:val="26"/>
          <w:szCs w:val="26"/>
        </w:rPr>
        <w:t xml:space="preserve">– </w:t>
      </w:r>
      <w:r w:rsidR="00D437D3" w:rsidRPr="00150C38">
        <w:rPr>
          <w:rFonts w:ascii="Calibri" w:hAnsi="Calibri"/>
          <w:sz w:val="26"/>
          <w:szCs w:val="26"/>
        </w:rPr>
        <w:t>м’ясо птиці,</w:t>
      </w:r>
      <w:r w:rsidR="00D437D3">
        <w:rPr>
          <w:rFonts w:ascii="Calibri" w:hAnsi="Calibri"/>
          <w:sz w:val="26"/>
          <w:szCs w:val="26"/>
        </w:rPr>
        <w:t xml:space="preserve"> безалкогольні напої, хліб, кисломолочна продукція та молочні продукти,</w:t>
      </w:r>
      <w:r w:rsidR="00D437D3" w:rsidRPr="00A319A7">
        <w:rPr>
          <w:rFonts w:ascii="Calibri" w:hAnsi="Calibri"/>
          <w:sz w:val="26"/>
          <w:szCs w:val="26"/>
        </w:rPr>
        <w:t xml:space="preserve"> </w:t>
      </w:r>
      <w:r w:rsidR="00D437D3">
        <w:rPr>
          <w:rFonts w:ascii="Calibri" w:hAnsi="Calibri"/>
          <w:sz w:val="26"/>
          <w:szCs w:val="26"/>
        </w:rPr>
        <w:t>масло, свинина, молоко, сир і м’який сир (творог).</w:t>
      </w:r>
    </w:p>
    <w:p w:rsidR="00741086" w:rsidRPr="00AE52CF" w:rsidRDefault="00741086" w:rsidP="00741086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="00653DB8">
        <w:rPr>
          <w:rFonts w:ascii="Calibri" w:hAnsi="Calibri"/>
        </w:rPr>
        <w:t>підвищилися</w:t>
      </w:r>
      <w:r w:rsidRPr="00AE52CF">
        <w:rPr>
          <w:rFonts w:ascii="Calibri" w:hAnsi="Calibri"/>
        </w:rPr>
        <w:t xml:space="preserve"> на </w:t>
      </w:r>
      <w:r w:rsidR="00653DB8">
        <w:rPr>
          <w:rFonts w:ascii="Calibri" w:hAnsi="Calibri"/>
        </w:rPr>
        <w:t>0,8</w:t>
      </w:r>
      <w:r w:rsidRPr="00AE52CF">
        <w:rPr>
          <w:rFonts w:ascii="Calibri" w:hAnsi="Calibri"/>
        </w:rPr>
        <w:t xml:space="preserve">%, що пов’язано з </w:t>
      </w:r>
      <w:r w:rsidR="00653DB8">
        <w:rPr>
          <w:rFonts w:ascii="Calibri" w:hAnsi="Calibri"/>
        </w:rPr>
        <w:t>подорожчанням</w:t>
      </w:r>
      <w:r w:rsidR="00085A3D" w:rsidRPr="00085A3D">
        <w:rPr>
          <w:rFonts w:ascii="Calibri" w:hAnsi="Calibri"/>
        </w:rPr>
        <w:t xml:space="preserve"> </w:t>
      </w:r>
      <w:r w:rsidR="00085A3D" w:rsidRPr="00AE52CF">
        <w:rPr>
          <w:rFonts w:ascii="Calibri" w:hAnsi="Calibri"/>
        </w:rPr>
        <w:t>тютюнов</w:t>
      </w:r>
      <w:r w:rsidR="00085A3D">
        <w:rPr>
          <w:rFonts w:ascii="Calibri" w:hAnsi="Calibri"/>
        </w:rPr>
        <w:t>их виробів</w:t>
      </w:r>
      <w:r w:rsidR="00085A3D" w:rsidRPr="00AE52CF">
        <w:rPr>
          <w:rFonts w:ascii="Calibri" w:hAnsi="Calibri"/>
        </w:rPr>
        <w:t xml:space="preserve"> на </w:t>
      </w:r>
      <w:r w:rsidR="00085A3D">
        <w:rPr>
          <w:rFonts w:ascii="Calibri" w:hAnsi="Calibri"/>
        </w:rPr>
        <w:t>1,4%,</w:t>
      </w:r>
      <w:r w:rsidR="008243EA">
        <w:rPr>
          <w:rFonts w:ascii="Calibri" w:hAnsi="Calibri"/>
        </w:rPr>
        <w:t xml:space="preserve"> алкогольних напоїв </w:t>
      </w:r>
      <w:r w:rsidR="00085A3D">
        <w:rPr>
          <w:rFonts w:ascii="Calibri" w:hAnsi="Calibri"/>
        </w:rPr>
        <w:t xml:space="preserve">– </w:t>
      </w:r>
      <w:r w:rsidR="008243EA">
        <w:rPr>
          <w:rFonts w:ascii="Calibri" w:hAnsi="Calibri"/>
        </w:rPr>
        <w:t>на 0,</w:t>
      </w:r>
      <w:r w:rsidR="00D9788C">
        <w:rPr>
          <w:rFonts w:ascii="Calibri" w:hAnsi="Calibri"/>
        </w:rPr>
        <w:t>4</w:t>
      </w:r>
      <w:r w:rsidR="008243EA">
        <w:rPr>
          <w:rFonts w:ascii="Calibri" w:hAnsi="Calibri"/>
        </w:rPr>
        <w:t>%.</w:t>
      </w:r>
      <w:r w:rsidRPr="00AE52CF">
        <w:rPr>
          <w:rFonts w:ascii="Calibri" w:hAnsi="Calibri"/>
        </w:rPr>
        <w:t xml:space="preserve"> </w:t>
      </w:r>
    </w:p>
    <w:p w:rsidR="00C311F6" w:rsidRPr="00BE24F3" w:rsidRDefault="00C311F6" w:rsidP="003572A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8243EA">
        <w:rPr>
          <w:rFonts w:ascii="Calibri" w:hAnsi="Calibri"/>
        </w:rPr>
        <w:t>подешевшали</w:t>
      </w:r>
      <w:r w:rsidRPr="00BE24F3">
        <w:rPr>
          <w:rFonts w:ascii="Calibri" w:hAnsi="Calibri"/>
        </w:rPr>
        <w:t xml:space="preserve"> на </w:t>
      </w:r>
      <w:r w:rsidR="00085A3D">
        <w:rPr>
          <w:rFonts w:ascii="Calibri" w:hAnsi="Calibri"/>
        </w:rPr>
        <w:t>5,3</w:t>
      </w:r>
      <w:r w:rsidRPr="00BE24F3">
        <w:rPr>
          <w:rFonts w:ascii="Calibri" w:hAnsi="Calibri"/>
        </w:rPr>
        <w:t xml:space="preserve">%, </w:t>
      </w:r>
      <w:r w:rsidR="00085A3D">
        <w:rPr>
          <w:rFonts w:ascii="Calibri" w:hAnsi="Calibri"/>
        </w:rPr>
        <w:t>у тому числі</w:t>
      </w:r>
      <w:r w:rsidR="005C7D11" w:rsidRPr="00BE24F3">
        <w:rPr>
          <w:rFonts w:ascii="Calibri" w:hAnsi="Calibri"/>
        </w:rPr>
        <w:t xml:space="preserve">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085A3D">
        <w:rPr>
          <w:rFonts w:ascii="Calibri" w:hAnsi="Calibri"/>
        </w:rPr>
        <w:t>8,0</w:t>
      </w:r>
      <w:r w:rsidR="008243EA">
        <w:rPr>
          <w:rFonts w:ascii="Calibri" w:hAnsi="Calibri"/>
        </w:rPr>
        <w:t>%,</w:t>
      </w:r>
      <w:r w:rsidR="00D31469">
        <w:rPr>
          <w:rFonts w:ascii="Calibri" w:hAnsi="Calibri"/>
        </w:rPr>
        <w:t xml:space="preserve"> </w:t>
      </w:r>
      <w:r w:rsidR="00141331" w:rsidRPr="00BE24F3">
        <w:rPr>
          <w:rFonts w:ascii="Calibri" w:hAnsi="Calibri"/>
        </w:rPr>
        <w:t xml:space="preserve">одяг </w:t>
      </w:r>
      <w:r w:rsidR="008243EA">
        <w:rPr>
          <w:rFonts w:ascii="Calibri" w:hAnsi="Calibri"/>
        </w:rPr>
        <w:t xml:space="preserve">– </w:t>
      </w:r>
      <w:r w:rsidR="00141331" w:rsidRPr="00BE24F3">
        <w:rPr>
          <w:rFonts w:ascii="Calibri" w:hAnsi="Calibri"/>
        </w:rPr>
        <w:t xml:space="preserve">на </w:t>
      </w:r>
      <w:r w:rsidR="00085A3D">
        <w:rPr>
          <w:rFonts w:ascii="Calibri" w:hAnsi="Calibri"/>
        </w:rPr>
        <w:t>3,3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F61044" w:rsidRDefault="008243EA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085A3D">
        <w:rPr>
          <w:rFonts w:ascii="Calibri" w:hAnsi="Calibri"/>
        </w:rPr>
        <w:t>1,2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за рахунок </w:t>
      </w:r>
      <w:r w:rsidR="00085A3D">
        <w:rPr>
          <w:rFonts w:ascii="Calibri" w:hAnsi="Calibri"/>
        </w:rPr>
        <w:t xml:space="preserve">підвищення </w:t>
      </w:r>
      <w:r w:rsidR="007C247B">
        <w:rPr>
          <w:rFonts w:ascii="Calibri" w:hAnsi="Calibri"/>
        </w:rPr>
        <w:t xml:space="preserve">ціни на </w:t>
      </w:r>
      <w:r w:rsidR="00F61044" w:rsidRPr="00F61044">
        <w:rPr>
          <w:rFonts w:ascii="Calibri" w:hAnsi="Calibri"/>
        </w:rPr>
        <w:t>природн</w:t>
      </w:r>
      <w:r w:rsidR="007C247B">
        <w:rPr>
          <w:rFonts w:ascii="Calibri" w:hAnsi="Calibri"/>
        </w:rPr>
        <w:t>ий газ</w:t>
      </w:r>
      <w:r w:rsidR="00F61044" w:rsidRPr="00F61044">
        <w:rPr>
          <w:rFonts w:ascii="Calibri" w:hAnsi="Calibri"/>
        </w:rPr>
        <w:t xml:space="preserve"> на </w:t>
      </w:r>
      <w:r w:rsidR="00085A3D">
        <w:rPr>
          <w:rFonts w:ascii="Calibri" w:hAnsi="Calibri"/>
        </w:rPr>
        <w:t>6,1</w:t>
      </w:r>
      <w:r w:rsidR="007C247B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112395</wp:posOffset>
            </wp:positionH>
            <wp:positionV relativeFrom="paragraph">
              <wp:posOffset>374015</wp:posOffset>
            </wp:positionV>
            <wp:extent cx="6033770" cy="292417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C5925" w:rsidRDefault="00EA05F8" w:rsidP="00E75E41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Ц</w:t>
      </w:r>
      <w:r w:rsidR="00CC5925" w:rsidRPr="00CC5925">
        <w:rPr>
          <w:rFonts w:ascii="Calibri" w:hAnsi="Calibri"/>
        </w:rPr>
        <w:t>ін</w:t>
      </w:r>
      <w:r>
        <w:rPr>
          <w:rFonts w:ascii="Calibri" w:hAnsi="Calibri"/>
        </w:rPr>
        <w:t>и</w:t>
      </w:r>
      <w:r w:rsidR="00E75E41" w:rsidRPr="00E75E41">
        <w:rPr>
          <w:rFonts w:ascii="Calibri" w:hAnsi="Calibri"/>
        </w:rPr>
        <w:t xml:space="preserve"> на </w:t>
      </w:r>
      <w:r w:rsidR="00E75E41" w:rsidRPr="00E75E41">
        <w:rPr>
          <w:rFonts w:ascii="Calibri" w:hAnsi="Calibri"/>
          <w:i/>
        </w:rPr>
        <w:t>транспорт</w:t>
      </w:r>
      <w:r w:rsidR="00E75E41" w:rsidRPr="00E75E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зросли </w:t>
      </w:r>
      <w:r w:rsidR="0035728B">
        <w:rPr>
          <w:rFonts w:ascii="Calibri" w:hAnsi="Calibri"/>
        </w:rPr>
        <w:t xml:space="preserve">на </w:t>
      </w:r>
      <w:r>
        <w:rPr>
          <w:rFonts w:ascii="Calibri" w:hAnsi="Calibri"/>
        </w:rPr>
        <w:t>1,3</w:t>
      </w:r>
      <w:r w:rsidR="0035728B">
        <w:rPr>
          <w:rFonts w:ascii="Calibri" w:hAnsi="Calibri"/>
        </w:rPr>
        <w:t xml:space="preserve">% </w:t>
      </w:r>
      <w:r>
        <w:rPr>
          <w:rFonts w:ascii="Calibri" w:hAnsi="Calibri"/>
        </w:rPr>
        <w:t>за рахунок</w:t>
      </w:r>
      <w:r w:rsidR="00CC5925" w:rsidRPr="00CC5925">
        <w:rPr>
          <w:rFonts w:ascii="Calibri" w:hAnsi="Calibri"/>
        </w:rPr>
        <w:t xml:space="preserve"> подорожчання </w:t>
      </w:r>
      <w:r w:rsidR="00D9788C">
        <w:rPr>
          <w:rFonts w:ascii="Calibri" w:hAnsi="Calibri"/>
        </w:rPr>
        <w:t xml:space="preserve">проїзду у залізничному пасажирському транспорті на 4,3%, </w:t>
      </w:r>
      <w:r w:rsidR="00CC5925" w:rsidRPr="00CC5925">
        <w:rPr>
          <w:rFonts w:ascii="Calibri" w:hAnsi="Calibri"/>
        </w:rPr>
        <w:t xml:space="preserve">палива та мастил </w:t>
      </w:r>
      <w:r w:rsidR="00D9788C">
        <w:rPr>
          <w:rFonts w:ascii="Calibri" w:hAnsi="Calibri"/>
        </w:rPr>
        <w:t xml:space="preserve">– </w:t>
      </w:r>
      <w:r w:rsidR="00CC5925" w:rsidRPr="00CC5925">
        <w:rPr>
          <w:rFonts w:ascii="Calibri" w:hAnsi="Calibri"/>
        </w:rPr>
        <w:t xml:space="preserve">на </w:t>
      </w:r>
      <w:r>
        <w:rPr>
          <w:rFonts w:ascii="Calibri" w:hAnsi="Calibri"/>
        </w:rPr>
        <w:t>3,5</w:t>
      </w:r>
      <w:r w:rsidR="00CC5925">
        <w:rPr>
          <w:rFonts w:ascii="Calibri" w:hAnsi="Calibri"/>
        </w:rPr>
        <w:t>%</w:t>
      </w:r>
      <w:r>
        <w:rPr>
          <w:rFonts w:ascii="Calibri" w:hAnsi="Calibri"/>
        </w:rPr>
        <w:t xml:space="preserve">, автомобілів </w:t>
      </w:r>
      <w:r w:rsidR="00D9788C">
        <w:rPr>
          <w:rFonts w:ascii="Calibri" w:hAnsi="Calibri"/>
        </w:rPr>
        <w:t xml:space="preserve"> </w:t>
      </w:r>
      <w:r w:rsidR="00DD2D0B">
        <w:rPr>
          <w:rFonts w:ascii="Calibri" w:hAnsi="Calibri"/>
        </w:rPr>
        <w:t>– на 2,3%</w:t>
      </w:r>
      <w:r w:rsidR="00CC5925">
        <w:rPr>
          <w:rFonts w:ascii="Calibri" w:hAnsi="Calibri"/>
        </w:rPr>
        <w:t>.</w:t>
      </w:r>
    </w:p>
    <w:p w:rsidR="00386B16" w:rsidRPr="00386B16" w:rsidRDefault="00386B16" w:rsidP="00386B16">
      <w:pPr>
        <w:pStyle w:val="a6"/>
        <w:ind w:firstLine="0"/>
        <w:jc w:val="left"/>
        <w:rPr>
          <w:rFonts w:ascii="Calibri" w:hAnsi="Calibri"/>
          <w:sz w:val="22"/>
          <w:szCs w:val="22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6151E5" w:rsidRDefault="006151E5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C4E" w:rsidRDefault="00804C4E">
      <w:r>
        <w:separator/>
      </w:r>
    </w:p>
  </w:endnote>
  <w:endnote w:type="continuationSeparator" w:id="0">
    <w:p w:rsidR="00804C4E" w:rsidRDefault="0080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C4E" w:rsidRDefault="00804C4E">
      <w:r>
        <w:separator/>
      </w:r>
    </w:p>
  </w:footnote>
  <w:footnote w:type="continuationSeparator" w:id="0">
    <w:p w:rsidR="00804C4E" w:rsidRDefault="00804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5A3D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511A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5F24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030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174C3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B16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D7E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8AE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31"/>
    <w:rsid w:val="0048769C"/>
    <w:rsid w:val="00487A8A"/>
    <w:rsid w:val="00491416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F5A"/>
    <w:rsid w:val="00591CBD"/>
    <w:rsid w:val="00592207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3C70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51E5"/>
    <w:rsid w:val="00617A5C"/>
    <w:rsid w:val="00621620"/>
    <w:rsid w:val="0062332B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3F0"/>
    <w:rsid w:val="00646E05"/>
    <w:rsid w:val="00650B9D"/>
    <w:rsid w:val="00651C3A"/>
    <w:rsid w:val="00653DB8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79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578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1539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A7F4B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247B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4C4E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57FF4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E83"/>
    <w:rsid w:val="00965176"/>
    <w:rsid w:val="00965F45"/>
    <w:rsid w:val="00966F91"/>
    <w:rsid w:val="00967211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19A7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4F67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06615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5B6D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49A3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4E1"/>
    <w:rsid w:val="00B77A92"/>
    <w:rsid w:val="00B809B7"/>
    <w:rsid w:val="00B80D70"/>
    <w:rsid w:val="00B815AC"/>
    <w:rsid w:val="00B81920"/>
    <w:rsid w:val="00B82E78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AE0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1B4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373E"/>
    <w:rsid w:val="00D437D3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9788C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683C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2D0B"/>
    <w:rsid w:val="00DD2E3F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52C6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280E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2FD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67D"/>
    <w:rsid w:val="00E94768"/>
    <w:rsid w:val="00E956C2"/>
    <w:rsid w:val="00E956CD"/>
    <w:rsid w:val="00E9665B"/>
    <w:rsid w:val="00E966F1"/>
    <w:rsid w:val="00E974A7"/>
    <w:rsid w:val="00E97D5F"/>
    <w:rsid w:val="00EA025F"/>
    <w:rsid w:val="00EA05F8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3BC8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513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3581711028452731"/>
          <c:w val="0.87942939449060764"/>
          <c:h val="0.5838720696722725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541659890225823E-3"/>
                  <c:y val="2.7553150948155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6327844624760321E-2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719604639505856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6274800730938184E-2"/>
                  <c:y val="-4.5690684369975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7719604639505936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838024298440291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2890667026964968E-2"/>
                  <c:y val="-3.0317375972175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989070122192782E-3"/>
                  <c:y val="2.7300524039811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2020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-0.6</c:v>
                </c:pt>
                <c:pt idx="1">
                  <c:v>-0.1</c:v>
                </c:pt>
                <c:pt idx="2">
                  <c:v>0.7</c:v>
                </c:pt>
                <c:pt idx="3">
                  <c:v>0.9</c:v>
                </c:pt>
                <c:pt idx="4">
                  <c:v>0</c:v>
                </c:pt>
                <c:pt idx="5">
                  <c:v>-0.1</c:v>
                </c:pt>
                <c:pt idx="6">
                  <c:v>0</c:v>
                </c:pt>
                <c:pt idx="7">
                  <c:v>-0.2</c:v>
                </c:pt>
                <c:pt idx="8">
                  <c:v>0.7</c:v>
                </c:pt>
                <c:pt idx="9">
                  <c:v>1</c:v>
                </c:pt>
                <c:pt idx="10">
                  <c:v>0.7</c:v>
                </c:pt>
                <c:pt idx="11">
                  <c:v>0.1</c:v>
                </c:pt>
                <c:pt idx="12">
                  <c:v>-0.5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28464"/>
        <c:axId val="217329024"/>
      </c:lineChart>
      <c:catAx>
        <c:axId val="217328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29024"/>
        <c:crosses val="autoZero"/>
        <c:auto val="1"/>
        <c:lblAlgn val="ctr"/>
        <c:lblOffset val="100"/>
        <c:noMultiLvlLbl val="0"/>
      </c:catAx>
      <c:valAx>
        <c:axId val="217329024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284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04577457065777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1.8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31264"/>
        <c:axId val="217331824"/>
      </c:lineChart>
      <c:catAx>
        <c:axId val="21733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31824"/>
        <c:crossesAt val="0"/>
        <c:auto val="1"/>
        <c:lblAlgn val="ctr"/>
        <c:lblOffset val="100"/>
        <c:noMultiLvlLbl val="0"/>
      </c:catAx>
      <c:valAx>
        <c:axId val="217331824"/>
        <c:scaling>
          <c:orientation val="minMax"/>
          <c:max val="3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3126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464877646632348E-2"/>
                  <c:y val="3.926043612619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772295024594294E-2"/>
                  <c:y val="3.5848944602545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7514627527398682E-2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760770913501091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139607376700698E-2"/>
                  <c:y val="-3.98781360755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8.6666794740187549E-3"/>
                  <c:y val="-2.2139776873788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10896161051895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2020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-0.5</c:v>
                </c:pt>
                <c:pt idx="1">
                  <c:v>-0.1</c:v>
                </c:pt>
                <c:pt idx="2">
                  <c:v>0</c:v>
                </c:pt>
                <c:pt idx="3">
                  <c:v>1.2</c:v>
                </c:pt>
                <c:pt idx="4">
                  <c:v>-0.4</c:v>
                </c:pt>
                <c:pt idx="5">
                  <c:v>-0.3</c:v>
                </c:pt>
                <c:pt idx="6">
                  <c:v>1.2</c:v>
                </c:pt>
                <c:pt idx="7">
                  <c:v>-0.6</c:v>
                </c:pt>
                <c:pt idx="8">
                  <c:v>1.3</c:v>
                </c:pt>
                <c:pt idx="9">
                  <c:v>2</c:v>
                </c:pt>
                <c:pt idx="10">
                  <c:v>1.6</c:v>
                </c:pt>
                <c:pt idx="11">
                  <c:v>0.1</c:v>
                </c:pt>
                <c:pt idx="12">
                  <c:v>-1.4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34064"/>
        <c:axId val="217334624"/>
      </c:lineChart>
      <c:catAx>
        <c:axId val="21733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34624"/>
        <c:crosses val="autoZero"/>
        <c:auto val="1"/>
        <c:lblAlgn val="ctr"/>
        <c:lblOffset val="100"/>
        <c:noMultiLvlLbl val="0"/>
      </c:catAx>
      <c:valAx>
        <c:axId val="217334624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34064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981867058240537"/>
          <c:y val="1.34431078851299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613190426549241E-2"/>
          <c:y val="0.20448194789983501"/>
          <c:w val="0.86971846270043152"/>
          <c:h val="0.5246625116485846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2651857793717689E-3"/>
                  <c:y val="3.3698393563996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200789887582761E-2"/>
                  <c:y val="4.396783142320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475574972198146E-2"/>
                  <c:y val="-4.2987509297494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926077725866287E-2"/>
                  <c:y val="-4.29871673206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056294820651103E-2"/>
                  <c:y val="-4.302481762733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157061008291664E-2"/>
                  <c:y val="-3.8644062000393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751725703830273E-2"/>
                  <c:y val="3.44558721690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42085628056753E-2"/>
                  <c:y val="4.27401201184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332445552283385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022319379094816E-2"/>
                  <c:y val="-4.7414056956235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9741190002270562E-3"/>
                  <c:y val="-4.339856540733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2020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-2.6</c:v>
                </c:pt>
                <c:pt idx="1">
                  <c:v>-0.9</c:v>
                </c:pt>
                <c:pt idx="2">
                  <c:v>0.7</c:v>
                </c:pt>
                <c:pt idx="3">
                  <c:v>0.5</c:v>
                </c:pt>
                <c:pt idx="4">
                  <c:v>2.9</c:v>
                </c:pt>
                <c:pt idx="5">
                  <c:v>-2.5</c:v>
                </c:pt>
                <c:pt idx="6">
                  <c:v>-4.8</c:v>
                </c:pt>
                <c:pt idx="7">
                  <c:v>0.2</c:v>
                </c:pt>
                <c:pt idx="8">
                  <c:v>-4.2</c:v>
                </c:pt>
                <c:pt idx="9">
                  <c:v>-4</c:v>
                </c:pt>
                <c:pt idx="10">
                  <c:v>-3.1</c:v>
                </c:pt>
                <c:pt idx="11">
                  <c:v>1.9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36864"/>
        <c:axId val="217337424"/>
      </c:lineChart>
      <c:catAx>
        <c:axId val="217336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37424"/>
        <c:crosses val="autoZero"/>
        <c:auto val="1"/>
        <c:lblAlgn val="ctr"/>
        <c:lblOffset val="300"/>
        <c:noMultiLvlLbl val="0"/>
      </c:catAx>
      <c:valAx>
        <c:axId val="217337424"/>
        <c:scaling>
          <c:orientation val="minMax"/>
          <c:max val="3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3686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8280205223956992E-2"/>
          <c:y val="0.180648973848148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453155134079378E-2"/>
                  <c:y val="3.5178114030926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104597884702791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554931803571352E-2"/>
                  <c:y val="-5.016325143092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13279365820452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833196162492324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378137015244389E-2"/>
                  <c:y val="-5.0163251430920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577304981963059E-2"/>
                  <c:y val="-5.5183331752205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2020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-1.8</c:v>
                </c:pt>
                <c:pt idx="1">
                  <c:v>-0.7</c:v>
                </c:pt>
                <c:pt idx="2">
                  <c:v>-0.5</c:v>
                </c:pt>
                <c:pt idx="3">
                  <c:v>-0.7</c:v>
                </c:pt>
                <c:pt idx="4">
                  <c:v>-0.5</c:v>
                </c:pt>
                <c:pt idx="5">
                  <c:v>-0.4</c:v>
                </c:pt>
                <c:pt idx="6">
                  <c:v>-1</c:v>
                </c:pt>
                <c:pt idx="7">
                  <c:v>0</c:v>
                </c:pt>
                <c:pt idx="8">
                  <c:v>0.5</c:v>
                </c:pt>
                <c:pt idx="9">
                  <c:v>-1.3</c:v>
                </c:pt>
                <c:pt idx="10">
                  <c:v>-1.3</c:v>
                </c:pt>
                <c:pt idx="11">
                  <c:v>2.2000000000000002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2313696"/>
        <c:axId val="322314256"/>
      </c:lineChart>
      <c:catAx>
        <c:axId val="322313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314256"/>
        <c:crosses val="autoZero"/>
        <c:auto val="1"/>
        <c:lblAlgn val="ctr"/>
        <c:lblOffset val="100"/>
        <c:noMultiLvlLbl val="0"/>
      </c:catAx>
      <c:valAx>
        <c:axId val="32231425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3136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22A70-CCF6-4021-9F0E-CEBFBEA0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8254</TotalTime>
  <Pages>4</Pages>
  <Words>632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824</cp:revision>
  <cp:lastPrinted>2020-03-13T07:19:00Z</cp:lastPrinted>
  <dcterms:created xsi:type="dcterms:W3CDTF">2016-07-12T09:45:00Z</dcterms:created>
  <dcterms:modified xsi:type="dcterms:W3CDTF">2020-08-13T08:22:00Z</dcterms:modified>
</cp:coreProperties>
</file>